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E25" w:rsidRPr="00523E25" w:rsidRDefault="00523E25" w:rsidP="00523E25">
      <w:pPr>
        <w:autoSpaceDE w:val="0"/>
        <w:autoSpaceDN w:val="0"/>
        <w:adjustRightInd w:val="0"/>
        <w:ind w:left="1985" w:right="1417"/>
        <w:jc w:val="both"/>
        <w:rPr>
          <w:rFonts w:ascii="Tahoma" w:hAnsi="Tahoma" w:cs="Tahoma"/>
          <w:i/>
          <w:sz w:val="18"/>
          <w:szCs w:val="18"/>
        </w:rPr>
      </w:pPr>
      <w:r w:rsidRPr="00523E25">
        <w:rPr>
          <w:rFonts w:ascii="Tahoma" w:hAnsi="Tahoma" w:cs="Tahoma"/>
          <w:b/>
          <w:i/>
          <w:sz w:val="18"/>
          <w:szCs w:val="18"/>
        </w:rPr>
        <w:t xml:space="preserve">Sumilla   : </w:t>
      </w:r>
      <w:r w:rsidRPr="00523E25">
        <w:rPr>
          <w:rFonts w:ascii="Tahoma" w:hAnsi="Tahoma" w:cs="Tahoma"/>
          <w:b/>
          <w:i/>
          <w:sz w:val="18"/>
          <w:szCs w:val="18"/>
        </w:rPr>
        <w:tab/>
      </w:r>
      <w:r w:rsidRPr="00523E25">
        <w:rPr>
          <w:rFonts w:ascii="Tahoma" w:hAnsi="Tahoma" w:cs="Tahoma"/>
          <w:i/>
          <w:iCs/>
          <w:sz w:val="18"/>
          <w:szCs w:val="18"/>
        </w:rPr>
        <w:t>Es infundado el recurso de reconsideración que no logra rebatir los fundamentos expuestos en la recurrida para imponer la sanción administrativa correspondiente</w:t>
      </w:r>
      <w:r w:rsidRPr="00523E25">
        <w:rPr>
          <w:rFonts w:ascii="Tahoma" w:hAnsi="Tahoma" w:cs="Tahoma"/>
          <w:i/>
          <w:sz w:val="18"/>
          <w:szCs w:val="18"/>
        </w:rPr>
        <w:t xml:space="preserve">” </w:t>
      </w:r>
    </w:p>
    <w:p w:rsidR="00523E25" w:rsidRDefault="00523E25" w:rsidP="00523E25">
      <w:pPr>
        <w:pStyle w:val="Textonotapie"/>
        <w:tabs>
          <w:tab w:val="left" w:pos="6379"/>
          <w:tab w:val="left" w:pos="7230"/>
          <w:tab w:val="left" w:pos="8505"/>
        </w:tabs>
        <w:ind w:left="2552" w:right="2126" w:hanging="1276"/>
        <w:jc w:val="both"/>
        <w:rPr>
          <w:rFonts w:ascii="Tahoma" w:hAnsi="Tahoma" w:cs="Tahoma"/>
          <w:i/>
          <w:sz w:val="22"/>
          <w:szCs w:val="22"/>
        </w:rPr>
      </w:pPr>
    </w:p>
    <w:p w:rsidR="00523E25" w:rsidRPr="004929CB" w:rsidRDefault="00523E25" w:rsidP="00523E25">
      <w:pPr>
        <w:pStyle w:val="Textoindependiente3"/>
        <w:tabs>
          <w:tab w:val="left" w:pos="3544"/>
          <w:tab w:val="left" w:pos="7230"/>
          <w:tab w:val="left" w:pos="8505"/>
        </w:tabs>
        <w:spacing w:after="0"/>
        <w:ind w:left="4248"/>
        <w:rPr>
          <w:rFonts w:ascii="Tahoma" w:hAnsi="Tahoma" w:cs="Tahoma"/>
          <w:b/>
          <w:sz w:val="21"/>
          <w:szCs w:val="21"/>
        </w:rPr>
      </w:pPr>
      <w:r w:rsidRPr="004929CB">
        <w:rPr>
          <w:rFonts w:ascii="Tahoma" w:hAnsi="Tahoma" w:cs="Tahoma"/>
          <w:b/>
          <w:sz w:val="21"/>
          <w:szCs w:val="21"/>
        </w:rPr>
        <w:t xml:space="preserve">Lima, </w:t>
      </w:r>
      <w:r w:rsidR="00A35B95">
        <w:rPr>
          <w:rFonts w:ascii="Tahoma" w:hAnsi="Tahoma" w:cs="Tahoma"/>
          <w:b/>
          <w:sz w:val="21"/>
          <w:szCs w:val="21"/>
        </w:rPr>
        <w:t>25 de Julio de 2011</w:t>
      </w:r>
    </w:p>
    <w:p w:rsidR="00523E25" w:rsidRPr="00523E25" w:rsidRDefault="00523E25" w:rsidP="00523E25">
      <w:pPr>
        <w:pStyle w:val="Textoindependiente"/>
        <w:tabs>
          <w:tab w:val="left" w:pos="540"/>
          <w:tab w:val="left" w:pos="3544"/>
          <w:tab w:val="left" w:pos="7230"/>
          <w:tab w:val="left" w:pos="8505"/>
        </w:tabs>
        <w:rPr>
          <w:rFonts w:cs="Tahoma"/>
          <w:b/>
          <w:szCs w:val="22"/>
          <w:lang w:val="es-PE"/>
        </w:rPr>
      </w:pPr>
    </w:p>
    <w:p w:rsidR="00523E25" w:rsidRPr="00523E25" w:rsidRDefault="00523E25" w:rsidP="00523E25">
      <w:pPr>
        <w:tabs>
          <w:tab w:val="left" w:pos="567"/>
        </w:tabs>
        <w:autoSpaceDE w:val="0"/>
        <w:autoSpaceDN w:val="0"/>
        <w:adjustRightInd w:val="0"/>
        <w:ind w:firstLine="567"/>
        <w:jc w:val="both"/>
        <w:rPr>
          <w:rFonts w:ascii="Tahoma" w:hAnsi="Tahoma" w:cs="Tahoma"/>
          <w:sz w:val="22"/>
          <w:szCs w:val="22"/>
        </w:rPr>
      </w:pPr>
      <w:r w:rsidRPr="00523E25">
        <w:rPr>
          <w:rFonts w:ascii="Tahoma" w:hAnsi="Tahoma" w:cs="Tahoma"/>
          <w:b/>
          <w:sz w:val="22"/>
          <w:szCs w:val="22"/>
        </w:rPr>
        <w:t>Visto</w:t>
      </w:r>
      <w:r w:rsidRPr="00523E25">
        <w:rPr>
          <w:rFonts w:ascii="Tahoma" w:hAnsi="Tahoma" w:cs="Tahoma"/>
          <w:sz w:val="22"/>
          <w:szCs w:val="22"/>
        </w:rPr>
        <w:t xml:space="preserve"> en sesión de fecha 25 de julio del 2011 de la Primera Sala del Tribunal de Contrataciones del Estado el Expediente N° 4434-2008.TC, sobre el recurso de reconsideración interpuesto por la empresa CONSTRUCTORA NEPAL S.A.C. c</w:t>
      </w:r>
      <w:r w:rsidRPr="00523E25">
        <w:rPr>
          <w:rFonts w:ascii="Tahoma" w:hAnsi="Tahoma" w:cs="Tahoma"/>
          <w:sz w:val="22"/>
          <w:szCs w:val="22"/>
          <w:lang w:val="es-PE"/>
        </w:rPr>
        <w:t xml:space="preserve">ontra </w:t>
      </w:r>
      <w:r w:rsidRPr="00523E25">
        <w:rPr>
          <w:rFonts w:ascii="Tahoma" w:hAnsi="Tahoma" w:cs="Tahoma"/>
          <w:sz w:val="22"/>
          <w:szCs w:val="22"/>
        </w:rPr>
        <w:t>la Resolución Nº 1085-2011-TC-S1 de fecha 22 de junio del 2011; y atendiendo a los siguientes:</w:t>
      </w:r>
    </w:p>
    <w:p w:rsidR="00523E25" w:rsidRPr="00523E25" w:rsidRDefault="00523E25" w:rsidP="00523E25">
      <w:pPr>
        <w:tabs>
          <w:tab w:val="left" w:pos="3544"/>
          <w:tab w:val="left" w:pos="7230"/>
          <w:tab w:val="left" w:pos="8505"/>
        </w:tabs>
        <w:rPr>
          <w:rFonts w:ascii="Tahoma" w:hAnsi="Tahoma" w:cs="Tahoma"/>
          <w:b/>
          <w:sz w:val="22"/>
          <w:szCs w:val="22"/>
        </w:rPr>
      </w:pPr>
    </w:p>
    <w:p w:rsidR="00523E25" w:rsidRPr="00523E25" w:rsidRDefault="00523E25" w:rsidP="00523E25">
      <w:pPr>
        <w:pStyle w:val="Prrafodelista"/>
        <w:tabs>
          <w:tab w:val="left" w:pos="3544"/>
          <w:tab w:val="left" w:pos="7230"/>
          <w:tab w:val="left" w:pos="8505"/>
        </w:tabs>
        <w:ind w:left="567"/>
        <w:jc w:val="both"/>
        <w:rPr>
          <w:rFonts w:ascii="Tahoma" w:hAnsi="Tahoma" w:cs="Tahoma"/>
          <w:b/>
          <w:shadow/>
          <w:sz w:val="22"/>
          <w:szCs w:val="22"/>
        </w:rPr>
      </w:pPr>
      <w:r w:rsidRPr="00523E25">
        <w:rPr>
          <w:rFonts w:ascii="Tahoma" w:hAnsi="Tahoma" w:cs="Tahoma"/>
          <w:b/>
          <w:shadow/>
          <w:sz w:val="22"/>
          <w:szCs w:val="22"/>
        </w:rPr>
        <w:t>ANTECEDENTES:</w:t>
      </w:r>
    </w:p>
    <w:p w:rsidR="00523E25" w:rsidRPr="00523E25" w:rsidRDefault="00523E25" w:rsidP="00523E25">
      <w:pPr>
        <w:autoSpaceDE w:val="0"/>
        <w:autoSpaceDN w:val="0"/>
        <w:adjustRightInd w:val="0"/>
        <w:jc w:val="both"/>
        <w:rPr>
          <w:rFonts w:ascii="Tahoma" w:hAnsi="Tahoma" w:cs="Tahoma"/>
          <w:b/>
          <w:bCs/>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523E25">
        <w:rPr>
          <w:rFonts w:ascii="Tahoma" w:hAnsi="Tahoma" w:cs="Tahoma"/>
          <w:sz w:val="22"/>
          <w:szCs w:val="22"/>
        </w:rPr>
        <w:t>El 05 de junio del 2008, el PROYECTO ESPECIAL DE INFRAESTRUCTURA DE TRANSPORTE DESCENTRALIZADO – PROVIAS DESCENTRALIZADO, en adelante la Entidad, convocó la Licitación Pública</w:t>
      </w:r>
      <w:r w:rsidRPr="00FB32F7">
        <w:rPr>
          <w:rFonts w:ascii="Tahoma" w:hAnsi="Tahoma" w:cs="Tahoma"/>
          <w:sz w:val="22"/>
          <w:szCs w:val="22"/>
        </w:rPr>
        <w:t xml:space="preserve"> Nº LP-2-2008-MTC/21 (Segunda Convocatoria) para la ejecución de la “Obra de Mejoramiento del Camino Vecinal Palca – San Juan Tantara – Chupamarca – Aurahua – Colcabamba, Tramo: Cascani – Tantara (Km. 8+600 – km. 24+230) (Long-=15.630 km) – Departamento de Huancavelica” por un valor referencial total ascendente a la suma de S/. 1’829,079.60 (Un millón ochocientos veintinueve mil setenta y nueve con 60/100 Nuevos Soles).</w:t>
      </w:r>
    </w:p>
    <w:p w:rsidR="00523E25" w:rsidRPr="00FB32F7" w:rsidRDefault="00523E25" w:rsidP="00523E25">
      <w:pPr>
        <w:pStyle w:val="Sangradetextonormal"/>
        <w:spacing w:after="0"/>
        <w:ind w:left="567" w:right="-1"/>
        <w:jc w:val="both"/>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Con fecha 24 de junio del 2008 se llevó a cabo el acto de presentación de propuestas.</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El 04 de julio del 2008, se realizó el acto de otorgamiento de la Buena Pro, la misma que fue adjudicada a favor de la empresa CONSTRUCTORA NEPAL S.A.C., en adelante la Contratista.</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A través del escrito presentado el 15 de julio del 2008, subsanado el 16 de mismo año, Jorge Pompeyo Bellido Vilchez, en adelante el Impugnante, interpuso recurso de apelación contra el otorgamiento de la Buena Pro, al señalar que el certificado de trabajo de la persona propuesta para la residencia de obra, el mismo que estaba referido a la residencia de la obra rehabilitación del camino vecinal Napati – Buenos Aires, habría sido adulterado en lo que respecta al periodo en la cual se desempeño como residente.</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Mediante Resolución Nº 2187-2008-TC-S2 de fecha 06 de agosto del 2008, se tuvo por desistido el recurso interpuesto y, además, se dispuso a la Entidad que realice la fiscalización posterior al documento cuestionado, es decir el certificado obrante en el folio 27 de la oferta de la Contratista.</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A través del Informe Nº 401-2008-MTC/21.UGTR de fecha 16 de setiembre del 2008, la Entidad señaló lo siguiente:</w:t>
      </w:r>
    </w:p>
    <w:p w:rsidR="00523E25" w:rsidRDefault="00523E25" w:rsidP="00523E25">
      <w:pPr>
        <w:pStyle w:val="Prrafodelista"/>
        <w:rPr>
          <w:rFonts w:ascii="Tahoma" w:hAnsi="Tahoma" w:cs="Tahoma"/>
          <w:sz w:val="22"/>
          <w:szCs w:val="22"/>
        </w:rPr>
      </w:pPr>
      <w:r>
        <w:rPr>
          <w:rFonts w:ascii="Tahoma" w:hAnsi="Tahoma" w:cs="Tahoma"/>
          <w:sz w:val="22"/>
          <w:szCs w:val="22"/>
        </w:rPr>
        <w:lastRenderedPageBreak/>
        <w:t>(…)</w:t>
      </w:r>
    </w:p>
    <w:p w:rsidR="00523E25" w:rsidRPr="0056480C" w:rsidRDefault="00523E25" w:rsidP="00523E25">
      <w:pPr>
        <w:pStyle w:val="Prrafodelista"/>
        <w:jc w:val="both"/>
        <w:rPr>
          <w:rFonts w:ascii="Tahoma" w:hAnsi="Tahoma" w:cs="Tahoma"/>
          <w:i/>
          <w:sz w:val="18"/>
          <w:szCs w:val="18"/>
        </w:rPr>
      </w:pPr>
      <w:r w:rsidRPr="0056480C">
        <w:rPr>
          <w:rFonts w:ascii="Tahoma" w:hAnsi="Tahoma" w:cs="Tahoma"/>
          <w:i/>
          <w:sz w:val="18"/>
          <w:szCs w:val="18"/>
        </w:rPr>
        <w:t>De la Convocatoria para el mejoramiento del camino vecinal Palca – San Juan – Tantara – Chupamarca – Aurahua – Colcabamba, Tramo Cascani – Tantara, visto la propuesta de la empresa Constructora Nepal SAC en folio (27), el CERTIFICADO redacta que el Ing. Jaime Cisneros Valenzuela con CIP Nº 52448 laboró como Ingeniero Residente de Obra durante el periodo entre el 16 de Julio del 2006 al 18 de Octubre del 2007, en la rehabilitación del camino vecinal: Napati – Buenos Aires, y del recurso de apelación del postor Jorge Pompeyo Bellido Vílchez este señala que a solicitud del Ing. Jaime Cisneros Valenzuela con fecha 20 de octubre del 2007 certificó el periodo de residencia en la obra Napatu – Buenos Aires del 16 de Julio del 2007 al 18 de octubre del 2007.</w:t>
      </w:r>
    </w:p>
    <w:p w:rsidR="00523E25" w:rsidRPr="0056480C" w:rsidRDefault="00523E25" w:rsidP="00523E25">
      <w:pPr>
        <w:pStyle w:val="Prrafodelista"/>
        <w:jc w:val="both"/>
        <w:rPr>
          <w:rFonts w:ascii="Tahoma" w:hAnsi="Tahoma" w:cs="Tahoma"/>
          <w:i/>
          <w:sz w:val="18"/>
          <w:szCs w:val="18"/>
        </w:rPr>
      </w:pPr>
    </w:p>
    <w:p w:rsidR="00523E25" w:rsidRPr="0056480C" w:rsidRDefault="00523E25" w:rsidP="00523E25">
      <w:pPr>
        <w:pStyle w:val="Prrafodelista"/>
        <w:jc w:val="both"/>
        <w:rPr>
          <w:rFonts w:ascii="Tahoma" w:hAnsi="Tahoma" w:cs="Tahoma"/>
          <w:i/>
          <w:sz w:val="18"/>
          <w:szCs w:val="18"/>
        </w:rPr>
      </w:pPr>
      <w:r w:rsidRPr="0056480C">
        <w:rPr>
          <w:rFonts w:ascii="Tahoma" w:hAnsi="Tahoma" w:cs="Tahoma"/>
          <w:i/>
          <w:sz w:val="18"/>
          <w:szCs w:val="18"/>
        </w:rPr>
        <w:t>El Ing. Jaime Cisneros Valenzuela asumió el cargo de residente de obra, autorizado por PROVIAS DESCENTRALIZADO con resolución directora a partir del 18 de julio del 2007, fecha que se aprueba su cambio, hasta el 18 de octubre del 2007 fecha que suscribe el acta de recepción final de obra, en ese sentido, el documento que se adjunta en la propuesta de la empresa Constructora Nepal SAC contiene datos falsos y por la declaración certificada de la empresa contratista Jorge Pompeyo Bellido Vílchez el documento habría sido adulterado.</w:t>
      </w:r>
    </w:p>
    <w:p w:rsidR="00523E25" w:rsidRDefault="00523E25" w:rsidP="00523E25">
      <w:pPr>
        <w:pStyle w:val="Prrafodelista"/>
        <w:rPr>
          <w:rFonts w:ascii="Tahoma" w:hAnsi="Tahoma" w:cs="Tahoma"/>
          <w:sz w:val="22"/>
          <w:szCs w:val="22"/>
        </w:rPr>
      </w:pPr>
      <w:r>
        <w:rPr>
          <w:rFonts w:ascii="Tahoma" w:hAnsi="Tahoma" w:cs="Tahoma"/>
          <w:sz w:val="22"/>
          <w:szCs w:val="22"/>
        </w:rPr>
        <w:t>(…)</w:t>
      </w:r>
    </w:p>
    <w:p w:rsidR="00523E25" w:rsidRDefault="00523E25" w:rsidP="00523E25">
      <w:pPr>
        <w:pStyle w:val="Sangradetextonormal"/>
        <w:spacing w:after="0"/>
        <w:ind w:left="567" w:right="-1"/>
        <w:jc w:val="both"/>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Con escrito presentado el 07 de noviembre del 2008, la Entidad informó a este Tribunal de Contrataciones del Estado, en adelante el Tribunal, los hechos antes expuestos; asimismo, indicó que la Contratista no se presentó a la formalización del contrato con la documentación requerida en el numeral 3.2 de las Bases y el Oficio Nº 2598-2008-MTC/21 notificado el 17 de setiembre del 2008, mediante el cual se le citó para la suscripción del contrato</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Mediante decreto de fecha 12 de noviembre del 2008, se inicio procedimiento administrativo sancionador al Contratista, por supuesta responsabilidad en la inclusión, como parte de su propuesta técnica, del Certificado de Trabajo del residente de obra propuesto. Asimismo, se le otorgó a la Contratista un plazo de diez días hábiles, a fin que cumpla con presentar sus descargos respecto a los hechos imputados.</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A través del escrito presentado el 12 de diciembre del 2008, la Contratista presentó sus descargos, en el cual señaló lo siguiente:</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9"/>
        </w:numPr>
        <w:tabs>
          <w:tab w:val="left" w:pos="5245"/>
        </w:tabs>
        <w:spacing w:after="0"/>
        <w:ind w:left="993" w:right="-1" w:hanging="426"/>
        <w:jc w:val="both"/>
        <w:rPr>
          <w:rFonts w:ascii="Tahoma" w:hAnsi="Tahoma" w:cs="Tahoma"/>
          <w:sz w:val="22"/>
          <w:szCs w:val="22"/>
        </w:rPr>
      </w:pPr>
      <w:r w:rsidRPr="00FB32F7">
        <w:rPr>
          <w:rFonts w:ascii="Tahoma" w:hAnsi="Tahoma" w:cs="Tahoma"/>
          <w:sz w:val="22"/>
          <w:szCs w:val="22"/>
        </w:rPr>
        <w:t>El documento cuestionado ha sido entregado por el Ing. Jaime Cisneros Valenzuela, para su respectiva y posterior presentación en el proceso de selección, por lo cual, hasta la fecha de la interposición del recurso de apelación, se desconocía cualquier adulteración o modificación de la misma, en tal sentido, no se objetó dicho documento por considerarla verdadera en virtud del Principio de Buena Fe entre las partes, procediendo a preparar  su propuesta técnica en mérito a la documentación proporcionada.</w:t>
      </w:r>
    </w:p>
    <w:p w:rsidR="00523E25" w:rsidRPr="00FB32F7" w:rsidRDefault="00523E25" w:rsidP="00523E25">
      <w:pPr>
        <w:pStyle w:val="Sangradetextonormal"/>
        <w:spacing w:after="0"/>
        <w:ind w:left="993" w:right="-1" w:hanging="426"/>
        <w:jc w:val="both"/>
        <w:rPr>
          <w:rFonts w:ascii="Tahoma" w:hAnsi="Tahoma" w:cs="Tahoma"/>
          <w:sz w:val="22"/>
          <w:szCs w:val="22"/>
        </w:rPr>
      </w:pPr>
    </w:p>
    <w:p w:rsidR="00523E25" w:rsidRPr="00FB32F7" w:rsidRDefault="00523E25" w:rsidP="00523E25">
      <w:pPr>
        <w:pStyle w:val="Sangradetextonormal"/>
        <w:numPr>
          <w:ilvl w:val="0"/>
          <w:numId w:val="9"/>
        </w:numPr>
        <w:spacing w:after="0"/>
        <w:ind w:left="993" w:right="-1" w:hanging="426"/>
        <w:jc w:val="both"/>
        <w:rPr>
          <w:rFonts w:ascii="Tahoma" w:hAnsi="Tahoma" w:cs="Tahoma"/>
          <w:sz w:val="22"/>
          <w:szCs w:val="22"/>
        </w:rPr>
      </w:pPr>
      <w:r w:rsidRPr="00FB32F7">
        <w:rPr>
          <w:rFonts w:ascii="Tahoma" w:hAnsi="Tahoma" w:cs="Tahoma"/>
          <w:sz w:val="22"/>
          <w:szCs w:val="22"/>
        </w:rPr>
        <w:t xml:space="preserve">No obstante ello, el Impugnante afirmó temerariamente que adulteró el certificado, modificando la fecha de vigencia de la Residencia desde el 16 de julio del 2006 al 18 de octubre del 2007, afirmación que rechaza, debido a que los hechos y acciones atribuidos deben ser demostrados y probados, </w:t>
      </w:r>
      <w:r w:rsidRPr="00FB32F7">
        <w:rPr>
          <w:rFonts w:ascii="Tahoma" w:hAnsi="Tahoma" w:cs="Tahoma"/>
          <w:sz w:val="22"/>
          <w:szCs w:val="22"/>
        </w:rPr>
        <w:lastRenderedPageBreak/>
        <w:t>considerando que al afirmar un hecho sin sustento legal alguno, genera un desmedro en su buena reputación, motivo por el cual se reservan el derecho de iniciar las acciones legales correspondientes contra los responsables.</w:t>
      </w:r>
    </w:p>
    <w:p w:rsidR="00523E25" w:rsidRPr="00FB32F7" w:rsidRDefault="00523E25" w:rsidP="00523E25">
      <w:pPr>
        <w:pStyle w:val="Sangradetextonormal"/>
        <w:spacing w:after="0"/>
        <w:ind w:left="993" w:right="-1" w:hanging="426"/>
        <w:jc w:val="both"/>
        <w:rPr>
          <w:rFonts w:ascii="Tahoma" w:hAnsi="Tahoma" w:cs="Tahoma"/>
          <w:sz w:val="22"/>
          <w:szCs w:val="22"/>
        </w:rPr>
      </w:pPr>
    </w:p>
    <w:p w:rsidR="00523E25" w:rsidRPr="00FB32F7" w:rsidRDefault="00523E25" w:rsidP="00523E25">
      <w:pPr>
        <w:pStyle w:val="Sangradetextonormal"/>
        <w:numPr>
          <w:ilvl w:val="0"/>
          <w:numId w:val="9"/>
        </w:numPr>
        <w:spacing w:after="0"/>
        <w:ind w:left="993" w:right="-1" w:hanging="426"/>
        <w:jc w:val="both"/>
        <w:rPr>
          <w:rFonts w:ascii="Tahoma" w:hAnsi="Tahoma" w:cs="Tahoma"/>
          <w:sz w:val="22"/>
          <w:szCs w:val="22"/>
        </w:rPr>
      </w:pPr>
      <w:r w:rsidRPr="00FB32F7">
        <w:rPr>
          <w:rFonts w:ascii="Tahoma" w:hAnsi="Tahoma" w:cs="Tahoma"/>
          <w:sz w:val="22"/>
          <w:szCs w:val="22"/>
        </w:rPr>
        <w:t>Asimismo, indicó que la falta de suscripción oportuna del contrato, se debió a demoras y problemas generados en la Subdirección del Registro Nacional de Proveedores del Concejo Superior de Contrataciones y Adquisiciones del Estado, debido a un inconveniente ajeno a su representada, hecho reconocido por dicha dependencia al traspapelarse los documentos correspondiente a la renovación de la Inscripción como Ejecutor de Obras.</w:t>
      </w:r>
    </w:p>
    <w:p w:rsidR="00523E25" w:rsidRPr="00FB32F7" w:rsidRDefault="00523E25" w:rsidP="00523E25">
      <w:pPr>
        <w:pStyle w:val="Sangradetextonormal"/>
        <w:spacing w:after="0"/>
        <w:ind w:left="993" w:right="-1" w:hanging="426"/>
        <w:jc w:val="both"/>
        <w:rPr>
          <w:rFonts w:ascii="Tahoma" w:hAnsi="Tahoma" w:cs="Tahoma"/>
          <w:sz w:val="22"/>
          <w:szCs w:val="22"/>
        </w:rPr>
      </w:pPr>
    </w:p>
    <w:p w:rsidR="00523E25" w:rsidRPr="00FB32F7" w:rsidRDefault="00523E25" w:rsidP="00523E25">
      <w:pPr>
        <w:pStyle w:val="Sangradetextonormal"/>
        <w:numPr>
          <w:ilvl w:val="0"/>
          <w:numId w:val="9"/>
        </w:numPr>
        <w:spacing w:after="0"/>
        <w:ind w:left="993" w:right="-1" w:hanging="426"/>
        <w:jc w:val="both"/>
        <w:rPr>
          <w:rFonts w:ascii="Tahoma" w:hAnsi="Tahoma" w:cs="Tahoma"/>
          <w:sz w:val="22"/>
          <w:szCs w:val="22"/>
        </w:rPr>
      </w:pPr>
      <w:r w:rsidRPr="00FB32F7">
        <w:rPr>
          <w:rFonts w:ascii="Tahoma" w:hAnsi="Tahoma" w:cs="Tahoma"/>
          <w:sz w:val="22"/>
          <w:szCs w:val="22"/>
        </w:rPr>
        <w:t>Por otra parte, señaló que al ser la Licitación Pública ejecutada con intervención del Banco Interamericano de Desarrollo (BID) de acuerdo a las normas internacionales que rigen dichos procesos, el presente procedimiento administrativo sancionador ha sido iniciada de manera inadecuada, toda vez que atenta contra el principio NON BIS IN IDEM, destinado a evitar la doble sanción administrativa por un mismo hecho, debido a que ante el BID también se ha proporcionado la información correspondiente destinada a aplicar las sanciones respectivas, las cuales serán también materia de descargo ante dicho organismo internacional, con la finalidad de evitar sanciones conducentes a afectar nuestra inclusión en el Listado Interno de Proveedores.</w:t>
      </w:r>
    </w:p>
    <w:p w:rsidR="00523E25" w:rsidRPr="00FB32F7" w:rsidRDefault="00523E25" w:rsidP="00523E25">
      <w:pPr>
        <w:pStyle w:val="Sangradetextonormal"/>
        <w:spacing w:after="0"/>
        <w:ind w:left="993" w:right="-1" w:hanging="426"/>
        <w:jc w:val="both"/>
        <w:rPr>
          <w:rFonts w:ascii="Tahoma" w:hAnsi="Tahoma" w:cs="Tahoma"/>
          <w:sz w:val="22"/>
          <w:szCs w:val="22"/>
        </w:rPr>
      </w:pPr>
    </w:p>
    <w:p w:rsidR="00523E25" w:rsidRPr="00FB32F7" w:rsidRDefault="00523E25" w:rsidP="00523E25">
      <w:pPr>
        <w:pStyle w:val="Sangradetextonormal"/>
        <w:numPr>
          <w:ilvl w:val="0"/>
          <w:numId w:val="9"/>
        </w:numPr>
        <w:spacing w:after="0"/>
        <w:ind w:left="993" w:right="-1" w:hanging="426"/>
        <w:jc w:val="both"/>
        <w:rPr>
          <w:rFonts w:ascii="Tahoma" w:hAnsi="Tahoma" w:cs="Tahoma"/>
          <w:sz w:val="22"/>
          <w:szCs w:val="22"/>
        </w:rPr>
      </w:pPr>
      <w:r w:rsidRPr="00FB32F7">
        <w:rPr>
          <w:rFonts w:ascii="Tahoma" w:hAnsi="Tahoma" w:cs="Tahoma"/>
          <w:sz w:val="22"/>
          <w:szCs w:val="22"/>
        </w:rPr>
        <w:t>Asimismo, señaló que la presente adquisición y/o contratación se ejecutó dentro de Convenios Internacionales, toda vez que la Licitación Pública Nº 02-2008-MTC/21 Segunda Convocatoria, para la ejecución de la “Obra de Mejoramiento del Camino Vecinal Palca – San Juan Tantara – Chupamarca – Aurahua – Colcabamba, Tramo: Cascani – Tantara (Km. 8+600 – km. 24+230) (Long-=15.630 km) – Departamento de Huancavelica”, es financiada por el BID, por lo cual se debe aplicar la Tercera Disposición Complementaria del Texto Único Ordenado de la Ley de Contrataciones y Adquisiciones del Estado, aprobado por Decreto Supremo Nº 083-2004-PCM, referida a las adquisiciones y contrataciones realizadas dentro del marco de convenios internacionales.</w:t>
      </w:r>
    </w:p>
    <w:p w:rsidR="00523E25" w:rsidRPr="00FB32F7" w:rsidRDefault="00523E25" w:rsidP="00523E25">
      <w:pPr>
        <w:pStyle w:val="Sangradetextonormal"/>
        <w:spacing w:after="0"/>
        <w:ind w:left="567" w:right="-1"/>
        <w:jc w:val="both"/>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Con decreto de fecha 17 de diciembre del 2008, se tuvo por apersonado a la Contratista, por presentado sus descargos y se remitió el presente expediente a la Cuarta Sala del Tribunal para que resuelva.</w:t>
      </w:r>
    </w:p>
    <w:p w:rsidR="00523E25" w:rsidRPr="00FB32F7" w:rsidRDefault="00523E25" w:rsidP="00523E25">
      <w:pPr>
        <w:pStyle w:val="Sangradetextonormal"/>
        <w:spacing w:after="0"/>
        <w:ind w:left="567" w:right="-1"/>
        <w:jc w:val="both"/>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Mediante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presente expediente fue reasignado a la Primera Sala del Tribunal para que emita pronunciamiento.</w:t>
      </w:r>
    </w:p>
    <w:p w:rsidR="00523E25" w:rsidRPr="00FB32F7" w:rsidRDefault="00523E25" w:rsidP="00523E25">
      <w:pPr>
        <w:pStyle w:val="Sangradetextonormal"/>
        <w:spacing w:after="0"/>
        <w:ind w:left="0" w:right="-1"/>
        <w:jc w:val="both"/>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A través del decreto de fecha 10 de mayo del 2011, se convocó a Audiencia Pública para el 19 de mayo del 2011.</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El 19 de mayo del 2011, se declaró frustrada la Audiencia Pública por inasistencia de las partes.</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Con escrito presentado el 19 de mayo del 2011, la Contratista reiteró los mismos argumentos señalados en su escrito de descargos y, además, solicitó la postergación de la Audiencia Pública, al indicar que cuando fueron notificados mediante la Cédula Nº 11584/2011.TC, la misma que comunicaba dicha audiencia, se adhirió el aviso en el cual se consignaba como expediente el Nº 04478/2008-TC y con la clave de ingreso al Toma Razón Electrónico el 7789B637, es decir que tanto el número de expediente como la clave no pertenecían al presente procedimiento administrativo sancionador, por lo cual, indicó que le ha impedido su legítimo derecho de defensa, toda vez que al no haberle permitido revisar el Toma Razón Electrónico, donde se consigna lo dicho por la solicitante de la sanción, no pudieron rechazar y sustentar adecuadamente las imputaciones esgrimidas en el presente proceso.</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Mediante decreto de fecha 24 de mayo del 2011, se consignó lo siguiente:</w:t>
      </w:r>
    </w:p>
    <w:p w:rsidR="00523E25" w:rsidRPr="003F2AD1" w:rsidRDefault="00523E25" w:rsidP="00523E25">
      <w:pPr>
        <w:rPr>
          <w:rFonts w:ascii="Tahoma" w:hAnsi="Tahoma" w:cs="Tahoma"/>
          <w:sz w:val="22"/>
          <w:szCs w:val="22"/>
        </w:rPr>
      </w:pPr>
    </w:p>
    <w:p w:rsidR="00523E25" w:rsidRPr="00C57AA1" w:rsidRDefault="00523E25" w:rsidP="00523E25">
      <w:pPr>
        <w:pStyle w:val="Sangradetextonormal"/>
        <w:spacing w:after="0"/>
        <w:ind w:left="851" w:right="282"/>
        <w:jc w:val="both"/>
        <w:rPr>
          <w:rFonts w:ascii="Tahoma" w:hAnsi="Tahoma" w:cs="Tahoma"/>
          <w:i/>
          <w:sz w:val="18"/>
          <w:szCs w:val="18"/>
        </w:rPr>
      </w:pPr>
      <w:r w:rsidRPr="00C57AA1">
        <w:rPr>
          <w:rFonts w:ascii="Tahoma" w:hAnsi="Tahoma" w:cs="Tahoma"/>
          <w:i/>
          <w:color w:val="000000"/>
          <w:sz w:val="18"/>
          <w:szCs w:val="18"/>
          <w:lang w:val="es-ES_tradnl"/>
        </w:rPr>
        <w:t xml:space="preserve">“Visto el escrito con registro N° 3883 presentado el 19.05.2011 por la empresa </w:t>
      </w:r>
      <w:r w:rsidRPr="00C57AA1">
        <w:rPr>
          <w:rFonts w:ascii="Tahoma" w:hAnsi="Tahoma" w:cs="Tahoma"/>
          <w:b/>
          <w:i/>
          <w:color w:val="000000"/>
          <w:sz w:val="18"/>
          <w:szCs w:val="18"/>
          <w:lang w:val="es-ES_tradnl"/>
        </w:rPr>
        <w:t>CONSTRUCTORA NEPAL S.A.C.</w:t>
      </w:r>
      <w:r w:rsidRPr="00C57AA1">
        <w:rPr>
          <w:rFonts w:ascii="Tahoma" w:hAnsi="Tahoma" w:cs="Tahoma"/>
          <w:i/>
          <w:color w:val="000000"/>
          <w:sz w:val="18"/>
          <w:szCs w:val="18"/>
          <w:lang w:val="es-ES_tradnl"/>
        </w:rPr>
        <w:t xml:space="preserve"> mediante el cual solicita la postergación de la audiencia pública convocada para el 19.05.2011 a las 9:30 a.m. dado que manifiesta que habiendo sido notificados el 12.05.2011 con Cédula de notificación N° 11584/2011.TC a la cual se le adjunto  la clave de acceso al toma razón electrónico correspondiente a otro expediente no han podido acceder al toma razón electrónico ubicado en la página web de Osce, y Considerando que de la revisión del presente expediente se verificó que mediante Cédula de Notificación N° 11584/2011.TC  se comunicó al recurrente el decreto de fecha 10.05.2011 relacionado con la convocatoria a la diligencia de audiencia pública de fecha 19.05.2011 a las 9:30 a.m, la cual fue debidamente recibida el 12.05.2011, por lo que ha quedado acreditado que la notificación del decreto de fecha 10.05.2011 se realizó en forma oportuna y correcta, situación que no se altera ni modifica  por la entrega de la clave de acceso al toma razón electrónico correspondiente a otro expediente, asimismo por error se le adjuntó la clave de acceso al toma razón electrónico  correspondiente al expediente 4478.2008.TC, sin perjuicio de lo antes mencionado: </w:t>
      </w:r>
      <w:r w:rsidRPr="00C57AA1">
        <w:rPr>
          <w:rFonts w:ascii="Tahoma" w:hAnsi="Tahoma" w:cs="Tahoma"/>
          <w:b/>
          <w:i/>
          <w:color w:val="000000"/>
          <w:sz w:val="18"/>
          <w:szCs w:val="18"/>
          <w:lang w:val="es-ES_tradnl"/>
        </w:rPr>
        <w:t>Téngase por bien notificada</w:t>
      </w:r>
      <w:r w:rsidRPr="00C57AA1">
        <w:rPr>
          <w:rFonts w:ascii="Tahoma" w:hAnsi="Tahoma" w:cs="Tahoma"/>
          <w:i/>
          <w:color w:val="000000"/>
          <w:sz w:val="18"/>
          <w:szCs w:val="18"/>
          <w:lang w:val="es-ES_tradnl"/>
        </w:rPr>
        <w:t xml:space="preserve"> la cédula de notificación N° 11584.2011.TC la cual convocaba a audiencia pública de 19.05.2011, </w:t>
      </w:r>
      <w:r w:rsidRPr="00C57AA1">
        <w:rPr>
          <w:rFonts w:ascii="Tahoma" w:hAnsi="Tahoma" w:cs="Tahoma"/>
          <w:b/>
          <w:i/>
          <w:color w:val="000000"/>
          <w:sz w:val="18"/>
          <w:szCs w:val="18"/>
          <w:lang w:val="es-ES_tradnl"/>
        </w:rPr>
        <w:t>Téngase presente lo expuesto por la recurrente</w:t>
      </w:r>
      <w:r w:rsidRPr="00C57AA1">
        <w:rPr>
          <w:rFonts w:ascii="Tahoma" w:hAnsi="Tahoma" w:cs="Tahoma"/>
          <w:i/>
          <w:color w:val="000000"/>
          <w:sz w:val="18"/>
          <w:szCs w:val="18"/>
          <w:lang w:val="es-ES_tradnl"/>
        </w:rPr>
        <w:t xml:space="preserve">,  y </w:t>
      </w:r>
      <w:r w:rsidRPr="00C57AA1">
        <w:rPr>
          <w:rFonts w:ascii="Tahoma" w:hAnsi="Tahoma" w:cs="Tahoma"/>
          <w:b/>
          <w:i/>
          <w:color w:val="000000"/>
          <w:sz w:val="18"/>
          <w:szCs w:val="18"/>
          <w:lang w:val="es-ES_tradnl"/>
        </w:rPr>
        <w:t xml:space="preserve">remítase la clave de acceso al toma razón electrónico </w:t>
      </w:r>
      <w:r w:rsidRPr="00C57AA1">
        <w:rPr>
          <w:rFonts w:ascii="Tahoma" w:hAnsi="Tahoma" w:cs="Tahoma"/>
          <w:i/>
          <w:color w:val="000000"/>
          <w:sz w:val="18"/>
          <w:szCs w:val="18"/>
          <w:lang w:val="es-ES_tradnl"/>
        </w:rPr>
        <w:t xml:space="preserve">ubicado en la página web de OSCE a la recurrente, respecto a la postergación de la audiencia pública: </w:t>
      </w:r>
      <w:r w:rsidRPr="00C57AA1">
        <w:rPr>
          <w:rFonts w:ascii="Tahoma" w:hAnsi="Tahoma" w:cs="Tahoma"/>
          <w:b/>
          <w:i/>
          <w:color w:val="000000"/>
          <w:sz w:val="18"/>
          <w:szCs w:val="18"/>
          <w:lang w:val="es-ES_tradnl"/>
        </w:rPr>
        <w:t>No ha lugar a lo solicitado</w:t>
      </w:r>
      <w:r w:rsidRPr="00C57AA1">
        <w:rPr>
          <w:rFonts w:ascii="Tahoma" w:hAnsi="Tahoma" w:cs="Tahoma"/>
          <w:i/>
          <w:color w:val="000000"/>
          <w:sz w:val="18"/>
          <w:szCs w:val="18"/>
          <w:lang w:val="es-ES_tradnl"/>
        </w:rPr>
        <w:t>, sin perjuicio que la recurrente remita sus alegatos por escrito, conforme a lo establecido en el numeral 1 del artículo 161 de la Ley de Procedimiento Administrativo General - Ley 27444, agréguese a los autos con conocimiento de las partes”.</w:t>
      </w:r>
    </w:p>
    <w:p w:rsidR="00523E25"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Con escrito presentado el 25 de mayo del 2011, la Contratista volvió a reiterar que al no habérsele entregado la clave de acceso, se está afectando su derecho de defensa.</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lastRenderedPageBreak/>
        <w:t xml:space="preserve">A través del decreto de fecha 30 de mayo del 2011, se dejó sin efecto </w:t>
      </w:r>
      <w:r w:rsidRPr="00FB32F7">
        <w:rPr>
          <w:rFonts w:ascii="Tahoma" w:hAnsi="Tahoma" w:cs="Tahoma"/>
          <w:color w:val="000000"/>
          <w:sz w:val="22"/>
          <w:szCs w:val="22"/>
          <w:lang w:val="es-ES_tradnl"/>
        </w:rPr>
        <w:t>el decreto de fecha 24 de mayo del 2011 en el extremo que dispuso declarar no ha lugar a la solicitud de postergación de audiencia pública, y; en consecuencia se programó a Audiencia Pública para el 09 de junio del 2011.</w:t>
      </w:r>
    </w:p>
    <w:p w:rsidR="00523E25" w:rsidRPr="00FB32F7" w:rsidRDefault="00523E25" w:rsidP="00523E25">
      <w:pPr>
        <w:pStyle w:val="Sangradetextonormal"/>
        <w:spacing w:after="0"/>
        <w:ind w:left="567" w:right="-1"/>
        <w:jc w:val="both"/>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Mediante decreto de fecha 09 de junio del 2011, se reprogramó la audiencia pública para el día 16 de junio del 2011.</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Con fecha 16 de junio del 2011, se declaró frustrada la Audiencia Pública por inasistencia de las partes.</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A través Resolución Nº 1085-2011-TC-S1 de fecha 22 de junio del 2011, se dispuso imponer a la Contratista la sanción administrativa de inhabilitación temporal en sus derechos de participar en procesos de selección y contratar con el Estado, por el periodo de ocho (08) meses, por la comisión de la infracción tipificada en el numeral 9) del artículo 294 del Reglamento.</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A través de los escritos presentados el 08 y 12 de julio del 2011, respectivamente, la Contratista presentó su recurso de reconsideración en el cual señaló lo siguiente:</w:t>
      </w:r>
    </w:p>
    <w:p w:rsidR="00523E25" w:rsidRPr="00FB32F7" w:rsidRDefault="00523E25" w:rsidP="00523E25">
      <w:pPr>
        <w:rPr>
          <w:rFonts w:ascii="Tahoma" w:hAnsi="Tahoma" w:cs="Tahoma"/>
          <w:sz w:val="22"/>
          <w:szCs w:val="22"/>
        </w:rPr>
      </w:pPr>
    </w:p>
    <w:p w:rsidR="00523E25" w:rsidRPr="00FB32F7" w:rsidRDefault="00523E25" w:rsidP="00523E25">
      <w:pPr>
        <w:pStyle w:val="Sangradetextonormal"/>
        <w:numPr>
          <w:ilvl w:val="0"/>
          <w:numId w:val="10"/>
        </w:numPr>
        <w:spacing w:after="0"/>
        <w:ind w:left="1134" w:right="-1" w:hanging="567"/>
        <w:jc w:val="both"/>
        <w:rPr>
          <w:rFonts w:ascii="Tahoma" w:hAnsi="Tahoma" w:cs="Tahoma"/>
          <w:sz w:val="22"/>
          <w:szCs w:val="22"/>
        </w:rPr>
      </w:pPr>
      <w:r w:rsidRPr="00FB32F7">
        <w:rPr>
          <w:rFonts w:ascii="Tahoma" w:hAnsi="Tahoma" w:cs="Tahoma"/>
          <w:sz w:val="22"/>
          <w:szCs w:val="22"/>
        </w:rPr>
        <w:t>La documentación cuestionada, ha sido validada toda vez que realizaron la obra de manera íntegra por su residente de obra encargado, no produciéndose daño alguno.</w:t>
      </w:r>
    </w:p>
    <w:p w:rsidR="00523E25" w:rsidRPr="00FB32F7" w:rsidRDefault="00523E25" w:rsidP="00523E25">
      <w:pPr>
        <w:pStyle w:val="Sangradetextonormal"/>
        <w:spacing w:after="0"/>
        <w:ind w:left="1134" w:right="-1"/>
        <w:jc w:val="both"/>
        <w:rPr>
          <w:rFonts w:ascii="Tahoma" w:hAnsi="Tahoma" w:cs="Tahoma"/>
          <w:sz w:val="22"/>
          <w:szCs w:val="22"/>
        </w:rPr>
      </w:pPr>
    </w:p>
    <w:p w:rsidR="00523E25" w:rsidRPr="00FB32F7" w:rsidRDefault="00523E25" w:rsidP="00523E25">
      <w:pPr>
        <w:pStyle w:val="Sangradetextonormal"/>
        <w:numPr>
          <w:ilvl w:val="0"/>
          <w:numId w:val="10"/>
        </w:numPr>
        <w:spacing w:after="0"/>
        <w:ind w:left="1134" w:right="-1" w:hanging="567"/>
        <w:jc w:val="both"/>
        <w:rPr>
          <w:rFonts w:ascii="Tahoma" w:hAnsi="Tahoma" w:cs="Tahoma"/>
          <w:sz w:val="22"/>
          <w:szCs w:val="22"/>
        </w:rPr>
      </w:pPr>
      <w:r w:rsidRPr="00FB32F7">
        <w:rPr>
          <w:rFonts w:ascii="Tahoma" w:hAnsi="Tahoma" w:cs="Tahoma"/>
          <w:sz w:val="22"/>
          <w:szCs w:val="22"/>
        </w:rPr>
        <w:t>Asimismo, señaló que la documentación en cuestión fue presentada el 24 de junio del 2008, por lo cual, tal como lo prescribe el artículo 243 del Reglamento de la Ley de Contrataciones del Estado, se tenía como plazo máximo para resolver hasta el 24 de junio del 2011, sin embargo, no se consideró dicho plazo.</w:t>
      </w:r>
    </w:p>
    <w:p w:rsidR="00523E25" w:rsidRPr="00FB32F7" w:rsidRDefault="00523E25" w:rsidP="00523E25">
      <w:pPr>
        <w:rPr>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A través del decreto de fecha 14 de julio del 2011, se programó Audiencia Pública para el 20 de julio del 2011.</w:t>
      </w:r>
    </w:p>
    <w:p w:rsidR="00523E25" w:rsidRPr="00FB32F7" w:rsidRDefault="00523E25" w:rsidP="00523E25">
      <w:pPr>
        <w:pStyle w:val="Sangradetextonormal"/>
        <w:spacing w:after="0"/>
        <w:ind w:left="567" w:right="-1"/>
        <w:jc w:val="both"/>
        <w:rPr>
          <w:rFonts w:ascii="Tahoma" w:hAnsi="Tahoma" w:cs="Tahoma"/>
          <w:sz w:val="22"/>
          <w:szCs w:val="22"/>
        </w:rPr>
      </w:pPr>
    </w:p>
    <w:p w:rsidR="00523E25" w:rsidRPr="00FB32F7" w:rsidRDefault="00523E25" w:rsidP="00523E25">
      <w:pPr>
        <w:pStyle w:val="Sangradetextonormal"/>
        <w:numPr>
          <w:ilvl w:val="0"/>
          <w:numId w:val="8"/>
        </w:numPr>
        <w:spacing w:after="0"/>
        <w:ind w:left="567" w:right="-1" w:hanging="567"/>
        <w:jc w:val="both"/>
        <w:rPr>
          <w:rFonts w:ascii="Tahoma" w:hAnsi="Tahoma" w:cs="Tahoma"/>
          <w:sz w:val="22"/>
          <w:szCs w:val="22"/>
        </w:rPr>
      </w:pPr>
      <w:r w:rsidRPr="00FB32F7">
        <w:rPr>
          <w:rFonts w:ascii="Tahoma" w:hAnsi="Tahoma" w:cs="Tahoma"/>
          <w:sz w:val="22"/>
          <w:szCs w:val="22"/>
        </w:rPr>
        <w:t>El 20 de julio del 2011, se declaró frustrada la Audiencia Pública, por la inasistencia de las partes.</w:t>
      </w:r>
    </w:p>
    <w:p w:rsidR="00523E25" w:rsidRPr="004929CB" w:rsidRDefault="00523E25" w:rsidP="00523E25">
      <w:pPr>
        <w:tabs>
          <w:tab w:val="num" w:pos="567"/>
        </w:tabs>
        <w:ind w:left="540"/>
        <w:jc w:val="both"/>
        <w:rPr>
          <w:rFonts w:ascii="Tahoma" w:hAnsi="Tahoma" w:cs="Tahoma"/>
          <w:sz w:val="21"/>
          <w:szCs w:val="21"/>
        </w:rPr>
      </w:pPr>
    </w:p>
    <w:p w:rsidR="00523E25" w:rsidRPr="004929CB" w:rsidRDefault="00523E25" w:rsidP="00523E25">
      <w:pPr>
        <w:pStyle w:val="Prrafodelista"/>
        <w:ind w:left="567"/>
        <w:jc w:val="both"/>
        <w:rPr>
          <w:rFonts w:ascii="Tahoma" w:hAnsi="Tahoma" w:cs="Tahoma"/>
          <w:sz w:val="21"/>
          <w:szCs w:val="21"/>
        </w:rPr>
      </w:pPr>
      <w:r w:rsidRPr="004929CB">
        <w:rPr>
          <w:rFonts w:ascii="Tahoma" w:hAnsi="Tahoma" w:cs="Tahoma"/>
          <w:b/>
          <w:bCs/>
          <w:shadow/>
          <w:sz w:val="21"/>
          <w:szCs w:val="21"/>
        </w:rPr>
        <w:t>FUNDAMENTACION:</w:t>
      </w:r>
    </w:p>
    <w:p w:rsidR="00523E25" w:rsidRPr="004929CB" w:rsidRDefault="00523E25" w:rsidP="00523E25">
      <w:pPr>
        <w:tabs>
          <w:tab w:val="left" w:pos="567"/>
        </w:tabs>
        <w:autoSpaceDE w:val="0"/>
        <w:autoSpaceDN w:val="0"/>
        <w:adjustRightInd w:val="0"/>
        <w:jc w:val="both"/>
        <w:rPr>
          <w:rFonts w:ascii="Tahoma" w:hAnsi="Tahoma" w:cs="Tahoma"/>
          <w:sz w:val="21"/>
          <w:szCs w:val="21"/>
        </w:rPr>
      </w:pPr>
    </w:p>
    <w:p w:rsidR="00523E25" w:rsidRPr="00FB32F7" w:rsidRDefault="00523E25" w:rsidP="00523E25">
      <w:pPr>
        <w:pStyle w:val="Textoindependiente"/>
        <w:numPr>
          <w:ilvl w:val="0"/>
          <w:numId w:val="6"/>
        </w:numPr>
        <w:tabs>
          <w:tab w:val="clear" w:pos="1080"/>
          <w:tab w:val="left" w:pos="0"/>
        </w:tabs>
        <w:ind w:left="567" w:hanging="567"/>
        <w:rPr>
          <w:rFonts w:cs="Tahoma"/>
          <w:szCs w:val="22"/>
        </w:rPr>
      </w:pPr>
      <w:r w:rsidRPr="00FB32F7">
        <w:rPr>
          <w:rFonts w:cs="Tahoma"/>
          <w:szCs w:val="22"/>
        </w:rPr>
        <w:t>El recurso de reconsideración en los procedimientos administrativos sancionadores a cargo del Tribunal ha sido regulado en el artículo 249 del Reglamento de la Ley de Contrataciones del Estado, aprobado por Decreto Supremo  № 184-2008-EF, a cuyo tenor aquél debe ser interpuesto dentro de los cinco días hábiles siguientes de la notificación o la publicación de la resolución que impone la sanción y resuelto en el término de quince días hábiles improrrogables desde su presentación, sin observaciones o subsanado el recurso.</w:t>
      </w:r>
    </w:p>
    <w:p w:rsidR="00523E25" w:rsidRPr="00FB32F7" w:rsidRDefault="00523E25" w:rsidP="00523E25">
      <w:pPr>
        <w:pStyle w:val="Textoindependiente"/>
        <w:tabs>
          <w:tab w:val="left" w:pos="0"/>
        </w:tabs>
        <w:ind w:left="567"/>
        <w:rPr>
          <w:rFonts w:cs="Tahoma"/>
          <w:szCs w:val="22"/>
        </w:rPr>
      </w:pPr>
    </w:p>
    <w:p w:rsidR="00523E25" w:rsidRPr="00FB32F7" w:rsidRDefault="00523E25" w:rsidP="00523E25">
      <w:pPr>
        <w:pStyle w:val="Textoindependiente"/>
        <w:numPr>
          <w:ilvl w:val="0"/>
          <w:numId w:val="6"/>
        </w:numPr>
        <w:tabs>
          <w:tab w:val="clear" w:pos="1080"/>
          <w:tab w:val="left" w:pos="0"/>
        </w:tabs>
        <w:ind w:left="567" w:hanging="567"/>
        <w:rPr>
          <w:rFonts w:cs="Tahoma"/>
          <w:szCs w:val="22"/>
        </w:rPr>
      </w:pPr>
      <w:r w:rsidRPr="00FB32F7">
        <w:rPr>
          <w:rFonts w:cs="Tahoma"/>
          <w:szCs w:val="22"/>
        </w:rPr>
        <w:t>En el caso de autos, el Postor ha interpuesto recurso de reconsideración contra la Resolución № 1085-2011-TC-S1 de fecha 22 de junio del 2011, mediante la cual el Tribunal le impuso sanción administrativa de inhabilitación t</w:t>
      </w:r>
      <w:r>
        <w:rPr>
          <w:rFonts w:cs="Tahoma"/>
          <w:szCs w:val="22"/>
        </w:rPr>
        <w:t>emporal por el periodo de ocho (08</w:t>
      </w:r>
      <w:r w:rsidRPr="00FB32F7">
        <w:rPr>
          <w:rFonts w:cs="Tahoma"/>
          <w:szCs w:val="22"/>
        </w:rPr>
        <w:t xml:space="preserve">) meses en sus derechos para participar en procesos de selección y contratar con el Estado, por haber incurrido en la infracción tipificada en el </w:t>
      </w:r>
      <w:r>
        <w:rPr>
          <w:rFonts w:cs="Tahoma"/>
          <w:szCs w:val="22"/>
        </w:rPr>
        <w:t>numeral 9) del artículo 294 del Reglamento</w:t>
      </w:r>
      <w:r w:rsidRPr="00FB32F7">
        <w:rPr>
          <w:rFonts w:cs="Tahoma"/>
          <w:szCs w:val="22"/>
        </w:rPr>
        <w:t>.</w:t>
      </w:r>
    </w:p>
    <w:p w:rsidR="00523E25" w:rsidRPr="00FB32F7" w:rsidRDefault="00523E25" w:rsidP="00523E25">
      <w:pPr>
        <w:pStyle w:val="Textoindependiente"/>
        <w:tabs>
          <w:tab w:val="left" w:pos="0"/>
        </w:tabs>
        <w:rPr>
          <w:rFonts w:cs="Tahoma"/>
          <w:szCs w:val="22"/>
        </w:rPr>
      </w:pPr>
    </w:p>
    <w:p w:rsidR="00523E25" w:rsidRPr="00FB32F7" w:rsidRDefault="00523E25" w:rsidP="00523E25">
      <w:pPr>
        <w:pStyle w:val="Textoindependiente"/>
        <w:numPr>
          <w:ilvl w:val="0"/>
          <w:numId w:val="6"/>
        </w:numPr>
        <w:tabs>
          <w:tab w:val="clear" w:pos="1080"/>
          <w:tab w:val="left" w:pos="0"/>
        </w:tabs>
        <w:ind w:left="567" w:hanging="567"/>
        <w:rPr>
          <w:rFonts w:cs="Tahoma"/>
          <w:szCs w:val="22"/>
        </w:rPr>
      </w:pPr>
      <w:r w:rsidRPr="00FB32F7">
        <w:rPr>
          <w:rFonts w:cs="Tahoma"/>
          <w:szCs w:val="22"/>
        </w:rPr>
        <w:t>Previamente, este Colegiado debe analizar si el recurso materia de estudio ha sido interpuesto oportunamente, es decir, dentro del plazo señalado expresamente en la normativa precitada.</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Textoindependiente"/>
        <w:numPr>
          <w:ilvl w:val="0"/>
          <w:numId w:val="6"/>
        </w:numPr>
        <w:tabs>
          <w:tab w:val="clear" w:pos="1080"/>
          <w:tab w:val="left" w:pos="0"/>
        </w:tabs>
        <w:ind w:left="567" w:hanging="567"/>
        <w:rPr>
          <w:rFonts w:cs="Tahoma"/>
          <w:szCs w:val="22"/>
        </w:rPr>
      </w:pPr>
      <w:r w:rsidRPr="00FB32F7">
        <w:rPr>
          <w:rFonts w:cs="Tahoma"/>
          <w:szCs w:val="22"/>
        </w:rPr>
        <w:t xml:space="preserve">Al respecto, de los actuados se advierte que la recurrida fue notificada a </w:t>
      </w:r>
      <w:r>
        <w:rPr>
          <w:rFonts w:cs="Tahoma"/>
          <w:szCs w:val="22"/>
        </w:rPr>
        <w:t>la impugnante el 01 de julio</w:t>
      </w:r>
      <w:r w:rsidRPr="00FB32F7">
        <w:rPr>
          <w:rFonts w:cs="Tahoma"/>
          <w:szCs w:val="22"/>
        </w:rPr>
        <w:t xml:space="preserve"> de 2011, tal como se puede verificar en la Cedula </w:t>
      </w:r>
      <w:r>
        <w:rPr>
          <w:rFonts w:cs="Tahoma"/>
          <w:szCs w:val="22"/>
        </w:rPr>
        <w:t>de Notificación Nº 15932</w:t>
      </w:r>
      <w:r w:rsidRPr="00FB32F7">
        <w:rPr>
          <w:rFonts w:cs="Tahoma"/>
          <w:szCs w:val="22"/>
        </w:rPr>
        <w:t>/2011.TC obrante en autos., por lo cual aqué</w:t>
      </w:r>
      <w:r>
        <w:rPr>
          <w:rFonts w:cs="Tahoma"/>
          <w:szCs w:val="22"/>
        </w:rPr>
        <w:t>l contaba hasta el 08 de julio</w:t>
      </w:r>
      <w:r w:rsidRPr="00FB32F7">
        <w:rPr>
          <w:rFonts w:cs="Tahoma"/>
          <w:szCs w:val="22"/>
        </w:rPr>
        <w:t xml:space="preserve"> del mismo año para cuestionarla en vía de reconsideración, siendo que </w:t>
      </w:r>
      <w:r>
        <w:rPr>
          <w:rFonts w:cs="Tahoma"/>
          <w:szCs w:val="22"/>
        </w:rPr>
        <w:t xml:space="preserve">en dicha fecha </w:t>
      </w:r>
      <w:r w:rsidRPr="00FB32F7">
        <w:rPr>
          <w:rFonts w:cs="Tahoma"/>
          <w:szCs w:val="22"/>
        </w:rPr>
        <w:t>el recurso fue ingresado a la Mesa de Partes del Tribunal de Contrataciones del Estado</w:t>
      </w:r>
    </w:p>
    <w:p w:rsidR="00523E25" w:rsidRPr="00FB32F7" w:rsidRDefault="00523E25" w:rsidP="00523E25">
      <w:pPr>
        <w:pStyle w:val="Textoindependiente"/>
        <w:tabs>
          <w:tab w:val="left" w:pos="0"/>
        </w:tabs>
        <w:rPr>
          <w:rFonts w:cs="Tahoma"/>
          <w:szCs w:val="22"/>
        </w:rPr>
      </w:pPr>
    </w:p>
    <w:p w:rsidR="00523E25" w:rsidRPr="00FB32F7" w:rsidRDefault="00523E25" w:rsidP="00523E25">
      <w:pPr>
        <w:pStyle w:val="Textoindependiente"/>
        <w:numPr>
          <w:ilvl w:val="0"/>
          <w:numId w:val="6"/>
        </w:numPr>
        <w:tabs>
          <w:tab w:val="clear" w:pos="1080"/>
          <w:tab w:val="left" w:pos="0"/>
        </w:tabs>
        <w:ind w:left="567" w:hanging="567"/>
        <w:rPr>
          <w:rFonts w:cs="Tahoma"/>
          <w:szCs w:val="22"/>
        </w:rPr>
      </w:pPr>
      <w:r w:rsidRPr="00FB32F7">
        <w:rPr>
          <w:rFonts w:cs="Tahoma"/>
          <w:szCs w:val="22"/>
        </w:rPr>
        <w:t>De esta manera, se ha corroborado que, efectivamente, el recurso administrativo fue presentado dentro del plazo previsto y, por ende, corresponde examinar el fondo del asunto cuestionado.</w:t>
      </w:r>
    </w:p>
    <w:p w:rsidR="00523E25" w:rsidRPr="00FB32F7" w:rsidRDefault="00523E25" w:rsidP="00523E25">
      <w:pPr>
        <w:pStyle w:val="Prrafodelista"/>
        <w:rPr>
          <w:rFonts w:ascii="Tahoma" w:hAnsi="Tahoma" w:cs="Tahoma"/>
          <w:sz w:val="22"/>
          <w:szCs w:val="22"/>
        </w:rPr>
      </w:pPr>
    </w:p>
    <w:p w:rsidR="00523E25" w:rsidRDefault="00523E25" w:rsidP="00523E25">
      <w:pPr>
        <w:pStyle w:val="Textoindependiente"/>
        <w:numPr>
          <w:ilvl w:val="0"/>
          <w:numId w:val="6"/>
        </w:numPr>
        <w:tabs>
          <w:tab w:val="clear" w:pos="1080"/>
          <w:tab w:val="left" w:pos="0"/>
        </w:tabs>
        <w:ind w:left="567" w:right="-1" w:hanging="567"/>
        <w:rPr>
          <w:rFonts w:cs="Tahoma"/>
          <w:szCs w:val="22"/>
        </w:rPr>
      </w:pPr>
      <w:r w:rsidRPr="00FB32F7">
        <w:rPr>
          <w:rFonts w:cs="Tahoma"/>
          <w:szCs w:val="22"/>
        </w:rPr>
        <w:t xml:space="preserve">La Recurrente informó que </w:t>
      </w:r>
      <w:r>
        <w:rPr>
          <w:rFonts w:cs="Tahoma"/>
          <w:szCs w:val="22"/>
        </w:rPr>
        <w:t>l</w:t>
      </w:r>
      <w:r w:rsidRPr="00FB32F7">
        <w:rPr>
          <w:rFonts w:cs="Tahoma"/>
          <w:szCs w:val="22"/>
        </w:rPr>
        <w:t>a documentación cuestionada, ha sido validada toda vez que realizaron la obra de manera íntegra por su residente de obra encargado, no produciéndose daño alguno.</w:t>
      </w:r>
    </w:p>
    <w:p w:rsidR="00523E25" w:rsidRPr="00D73F74" w:rsidRDefault="00523E25" w:rsidP="00523E25">
      <w:pPr>
        <w:rPr>
          <w:rFonts w:ascii="Tahoma" w:hAnsi="Tahoma" w:cs="Tahoma"/>
          <w:sz w:val="22"/>
          <w:szCs w:val="22"/>
        </w:rPr>
      </w:pPr>
    </w:p>
    <w:p w:rsidR="00523E25" w:rsidRDefault="00523E25" w:rsidP="00523E25">
      <w:pPr>
        <w:pStyle w:val="Textoindependiente"/>
        <w:tabs>
          <w:tab w:val="left" w:pos="0"/>
        </w:tabs>
        <w:ind w:left="567" w:right="-1"/>
        <w:rPr>
          <w:rFonts w:cs="Tahoma"/>
          <w:szCs w:val="22"/>
        </w:rPr>
      </w:pPr>
      <w:r w:rsidRPr="005B665B">
        <w:rPr>
          <w:rFonts w:cs="Tahoma"/>
          <w:szCs w:val="22"/>
        </w:rPr>
        <w:t xml:space="preserve">En relación a ello, </w:t>
      </w:r>
      <w:r>
        <w:rPr>
          <w:rFonts w:cs="Tahoma"/>
          <w:szCs w:val="22"/>
        </w:rPr>
        <w:t xml:space="preserve">cabe precisar que no resulta amparable lo señalado por la Contratista, toda vez que la causal de infracción no está referida a que el residente de obra haya participado o no de manera íntegra en la realización de la obra, sino que, por el contrario, lo que se ha podido verificar en el trámite de este procedimiento administrativo sancionador, es que el Certificado de fecha 20 de octubre del 2007 emitido a nombre del </w:t>
      </w:r>
      <w:r w:rsidRPr="00A229DF">
        <w:rPr>
          <w:rFonts w:cs="Tahoma"/>
          <w:szCs w:val="22"/>
        </w:rPr>
        <w:t>Ingeniero Civil Jaime Cisneros Valenzuela</w:t>
      </w:r>
      <w:r>
        <w:rPr>
          <w:rFonts w:cs="Tahoma"/>
          <w:szCs w:val="22"/>
        </w:rPr>
        <w:t>, el mismo que ha sido incluido como parte de la propuesta técnica de la Contratista, ha sido adulterado, ya</w:t>
      </w:r>
      <w:r w:rsidRPr="00A229DF">
        <w:rPr>
          <w:rFonts w:cs="Tahoma"/>
          <w:szCs w:val="22"/>
        </w:rPr>
        <w:t xml:space="preserve"> que el periodo de Residencia en la obra Napati Buenos Aires comprendió el periodo entre el 16 de julio del 2007 al 18 de octubre del 2007 y no como se consignó en el documento cuestionado que el periodo comprendido fue del 16 de julio del 2006 al 18 de octubre del 2007</w:t>
      </w:r>
      <w:r>
        <w:rPr>
          <w:rFonts w:cs="Tahoma"/>
          <w:szCs w:val="22"/>
        </w:rPr>
        <w:t>.</w:t>
      </w:r>
    </w:p>
    <w:p w:rsidR="00523E25" w:rsidRPr="005E7962" w:rsidRDefault="00523E25" w:rsidP="00523E25">
      <w:pPr>
        <w:rPr>
          <w:rFonts w:ascii="Tahoma" w:hAnsi="Tahoma" w:cs="Tahoma"/>
          <w:sz w:val="22"/>
          <w:szCs w:val="22"/>
        </w:rPr>
      </w:pPr>
    </w:p>
    <w:p w:rsidR="00523E25" w:rsidRDefault="00523E25" w:rsidP="00523E25">
      <w:pPr>
        <w:pStyle w:val="Textoindependiente"/>
        <w:tabs>
          <w:tab w:val="left" w:pos="0"/>
        </w:tabs>
        <w:ind w:left="567" w:right="-1"/>
        <w:rPr>
          <w:rFonts w:cs="Tahoma"/>
          <w:szCs w:val="22"/>
        </w:rPr>
      </w:pPr>
      <w:r>
        <w:rPr>
          <w:rFonts w:cs="Tahoma"/>
          <w:szCs w:val="22"/>
        </w:rPr>
        <w:t xml:space="preserve">Asimismo, tampoco resulta amparable lo señalado por la Contratista, respecto a que no existió daño alguno, toda vez que, tal como lo indicó la resolución recurrida, se </w:t>
      </w:r>
      <w:r>
        <w:rPr>
          <w:rFonts w:cs="Tahoma"/>
          <w:color w:val="000000" w:themeColor="text1"/>
          <w:szCs w:val="22"/>
        </w:rPr>
        <w:t>debe tener en cuenta que la inclusión del</w:t>
      </w:r>
      <w:r w:rsidRPr="005B5C05">
        <w:rPr>
          <w:rFonts w:cs="Tahoma"/>
          <w:color w:val="000000" w:themeColor="text1"/>
          <w:szCs w:val="22"/>
        </w:rPr>
        <w:t xml:space="preserve"> </w:t>
      </w:r>
      <w:r>
        <w:rPr>
          <w:rFonts w:cs="Tahoma"/>
          <w:color w:val="000000" w:themeColor="text1"/>
          <w:szCs w:val="22"/>
        </w:rPr>
        <w:t>documento cuestionado</w:t>
      </w:r>
      <w:r w:rsidRPr="005B5C05">
        <w:rPr>
          <w:rFonts w:cs="Tahoma"/>
          <w:color w:val="000000" w:themeColor="text1"/>
          <w:szCs w:val="22"/>
        </w:rPr>
        <w:t xml:space="preserve"> representó una ventaja ilícita</w:t>
      </w:r>
      <w:r>
        <w:rPr>
          <w:rFonts w:cs="Tahoma"/>
          <w:color w:val="000000" w:themeColor="text1"/>
          <w:szCs w:val="22"/>
        </w:rPr>
        <w:t xml:space="preserve"> de la Contratista</w:t>
      </w:r>
      <w:r w:rsidRPr="005B5C05">
        <w:rPr>
          <w:rFonts w:cs="Tahoma"/>
          <w:color w:val="000000" w:themeColor="text1"/>
          <w:szCs w:val="22"/>
        </w:rPr>
        <w:t xml:space="preserve"> sobre los demás postores, ventaja que incluso le permitió ganar el proceso de selección; de tal modo que la participación y posterior obtención de la buena pro por parte de la empresa </w:t>
      </w:r>
      <w:r w:rsidRPr="005B5C05">
        <w:rPr>
          <w:rFonts w:cs="Tahoma"/>
          <w:color w:val="000000" w:themeColor="text1"/>
          <w:szCs w:val="22"/>
        </w:rPr>
        <w:lastRenderedPageBreak/>
        <w:t>denunciada gracia</w:t>
      </w:r>
      <w:r>
        <w:rPr>
          <w:rFonts w:cs="Tahoma"/>
          <w:color w:val="000000" w:themeColor="text1"/>
          <w:szCs w:val="22"/>
        </w:rPr>
        <w:t>s a dicho documento</w:t>
      </w:r>
      <w:r w:rsidRPr="005B5C05">
        <w:rPr>
          <w:rFonts w:cs="Tahoma"/>
          <w:color w:val="000000" w:themeColor="text1"/>
          <w:szCs w:val="22"/>
        </w:rPr>
        <w:t xml:space="preserve"> originó la presentación del recurso de apelación, lo cual originó retraso en la contratación del servicio requerido, demora que sí constituye perjuicio hacia la Entidad, ya que ha dilatado innecesariamente la atención de sus necesidades, razón por la cual debe considerarse que si ha existido un daño en contra de ella</w:t>
      </w:r>
      <w:r>
        <w:rPr>
          <w:rFonts w:cs="Tahoma"/>
          <w:color w:val="000000" w:themeColor="text1"/>
          <w:szCs w:val="22"/>
        </w:rPr>
        <w:t>.</w:t>
      </w:r>
    </w:p>
    <w:p w:rsidR="00523E25" w:rsidRDefault="00523E25" w:rsidP="00523E25">
      <w:pPr>
        <w:pStyle w:val="Textoindependiente"/>
        <w:tabs>
          <w:tab w:val="left" w:pos="0"/>
        </w:tabs>
        <w:ind w:left="567" w:right="-1"/>
        <w:rPr>
          <w:rFonts w:cs="Tahoma"/>
          <w:szCs w:val="22"/>
        </w:rPr>
      </w:pPr>
    </w:p>
    <w:p w:rsidR="00523E25" w:rsidRDefault="00523E25" w:rsidP="00523E25">
      <w:pPr>
        <w:pStyle w:val="Textoindependiente"/>
        <w:numPr>
          <w:ilvl w:val="0"/>
          <w:numId w:val="6"/>
        </w:numPr>
        <w:tabs>
          <w:tab w:val="clear" w:pos="1080"/>
          <w:tab w:val="left" w:pos="0"/>
        </w:tabs>
        <w:ind w:left="567" w:right="-1" w:hanging="567"/>
        <w:rPr>
          <w:rFonts w:cs="Tahoma"/>
          <w:szCs w:val="22"/>
        </w:rPr>
      </w:pPr>
      <w:r>
        <w:rPr>
          <w:rFonts w:cs="Tahoma"/>
          <w:szCs w:val="22"/>
        </w:rPr>
        <w:t>Por otra parte</w:t>
      </w:r>
      <w:r w:rsidRPr="00D73F74">
        <w:rPr>
          <w:rFonts w:cs="Tahoma"/>
          <w:szCs w:val="22"/>
        </w:rPr>
        <w:t>, señaló que la documentación en cuestión fue presentada el 24 de junio del 2008, por lo cual, tal como lo prescribe el artículo 243 del Reglamento de la Ley de Contrataciones del Estado, se tenía como plazo máximo para resolver hasta el 24 de junio del 2011, sin embargo, no se consideró dicho plazo.</w:t>
      </w:r>
    </w:p>
    <w:p w:rsidR="00523E25" w:rsidRDefault="00523E25" w:rsidP="00523E25">
      <w:pPr>
        <w:pStyle w:val="Textoindependiente"/>
        <w:tabs>
          <w:tab w:val="left" w:pos="0"/>
        </w:tabs>
        <w:ind w:left="567" w:right="-1"/>
        <w:rPr>
          <w:rFonts w:cs="Tahoma"/>
          <w:szCs w:val="22"/>
        </w:rPr>
      </w:pPr>
    </w:p>
    <w:p w:rsidR="00523E25" w:rsidRDefault="00523E25" w:rsidP="00523E25">
      <w:pPr>
        <w:pStyle w:val="Textoindependiente"/>
        <w:numPr>
          <w:ilvl w:val="0"/>
          <w:numId w:val="6"/>
        </w:numPr>
        <w:tabs>
          <w:tab w:val="clear" w:pos="1080"/>
          <w:tab w:val="left" w:pos="0"/>
        </w:tabs>
        <w:ind w:left="567" w:right="-1" w:hanging="567"/>
        <w:rPr>
          <w:rFonts w:cs="Tahoma"/>
          <w:szCs w:val="22"/>
        </w:rPr>
      </w:pPr>
      <w:r>
        <w:rPr>
          <w:rFonts w:cs="Tahoma"/>
          <w:szCs w:val="22"/>
        </w:rPr>
        <w:t xml:space="preserve">De lo señalado por la Contratista, es posible colegir que lo que está argumentando es que al emitirse la resolución recurrida, no se consideró el plazo en el cual prescribía la infracción materia de denuncia, por lo cual, indicó como artículo aplicable el 243 del Reglamento </w:t>
      </w:r>
      <w:r w:rsidRPr="00D73F74">
        <w:rPr>
          <w:rFonts w:cs="Tahoma"/>
          <w:szCs w:val="22"/>
        </w:rPr>
        <w:t>de la Ley de Contrataciones del Estado</w:t>
      </w:r>
      <w:r>
        <w:rPr>
          <w:rFonts w:cs="Tahoma"/>
          <w:szCs w:val="22"/>
        </w:rPr>
        <w:t>, aprobado mediante Decreto Supremo Nº 184-2008-EF.</w:t>
      </w:r>
    </w:p>
    <w:p w:rsidR="00523E25" w:rsidRDefault="00523E25" w:rsidP="00523E25">
      <w:pPr>
        <w:pStyle w:val="Prrafodelista"/>
        <w:rPr>
          <w:rFonts w:ascii="Tahoma" w:hAnsi="Tahoma" w:cs="Tahoma"/>
          <w:sz w:val="22"/>
          <w:szCs w:val="22"/>
        </w:rPr>
      </w:pPr>
    </w:p>
    <w:p w:rsidR="00523E25" w:rsidRDefault="00523E25" w:rsidP="00523E25">
      <w:pPr>
        <w:pStyle w:val="Textoindependiente"/>
        <w:tabs>
          <w:tab w:val="left" w:pos="0"/>
        </w:tabs>
        <w:ind w:left="567" w:right="-1"/>
        <w:rPr>
          <w:rFonts w:cs="Tahoma"/>
          <w:szCs w:val="22"/>
        </w:rPr>
      </w:pPr>
      <w:r>
        <w:rPr>
          <w:rFonts w:cs="Tahoma"/>
          <w:szCs w:val="22"/>
        </w:rPr>
        <w:t xml:space="preserve">No obstante ello, se debe precisar que en el presente caso, la normativa aplicable para verificar la configuración de la prescripción es la que está establecida en el </w:t>
      </w:r>
      <w:r w:rsidRPr="00C34D1E">
        <w:rPr>
          <w:rFonts w:cs="Tahoma"/>
          <w:szCs w:val="22"/>
        </w:rPr>
        <w:t xml:space="preserve">Reglamento de la Ley de Contrataciones y Adquisiciones del Estado, aprobado mediante Decreto Supremo Nº 084-2004-PCM, en adelante el Reglamento, </w:t>
      </w:r>
      <w:r>
        <w:rPr>
          <w:rFonts w:cs="Tahoma"/>
          <w:szCs w:val="22"/>
        </w:rPr>
        <w:t>al ser la norma vigente al momento de producirse los hechos materia de denuncia, el mismo que establece e</w:t>
      </w:r>
      <w:r w:rsidRPr="00C34D1E">
        <w:rPr>
          <w:rFonts w:cs="Tahoma"/>
          <w:szCs w:val="22"/>
        </w:rPr>
        <w:t xml:space="preserve">n su </w:t>
      </w:r>
      <w:r>
        <w:rPr>
          <w:rFonts w:cs="Tahoma"/>
          <w:szCs w:val="22"/>
        </w:rPr>
        <w:t>artículo 300</w:t>
      </w:r>
      <w:r w:rsidRPr="00C34D1E">
        <w:rPr>
          <w:rFonts w:cs="Tahoma"/>
          <w:szCs w:val="22"/>
        </w:rPr>
        <w:t xml:space="preserve"> que las infracciones establecidas en los artículos 294 y 295 prescriben a los tres (3) años de cometidas y</w:t>
      </w:r>
      <w:r>
        <w:rPr>
          <w:rFonts w:cs="Tahoma"/>
          <w:szCs w:val="22"/>
        </w:rPr>
        <w:t xml:space="preserve">, además, </w:t>
      </w:r>
      <w:r w:rsidRPr="00C34D1E">
        <w:rPr>
          <w:rFonts w:cs="Tahoma"/>
          <w:szCs w:val="22"/>
        </w:rPr>
        <w:t xml:space="preserve">en el numeral 1) del artículo 301, </w:t>
      </w:r>
      <w:r>
        <w:rPr>
          <w:rFonts w:cs="Tahoma"/>
          <w:szCs w:val="22"/>
        </w:rPr>
        <w:t>que dispone</w:t>
      </w:r>
      <w:r w:rsidRPr="00C34D1E">
        <w:rPr>
          <w:rFonts w:cs="Tahoma"/>
          <w:szCs w:val="22"/>
        </w:rPr>
        <w:t xml:space="preserve"> que el plazo de prescripción se suspende por el inicio del procedimiento administrativo sancionador y, en el caso que el Tribunal no se pronuncie en el plazo de tres (3) meses, la prescripción reanuda su curso, adicionándose el período transcurrido con anterioridad a la suspensión</w:t>
      </w:r>
    </w:p>
    <w:p w:rsidR="00523E25" w:rsidRDefault="00523E25" w:rsidP="00523E25">
      <w:pPr>
        <w:pStyle w:val="Textoindependiente"/>
        <w:tabs>
          <w:tab w:val="left" w:pos="0"/>
        </w:tabs>
        <w:ind w:left="567" w:right="-1"/>
        <w:rPr>
          <w:rFonts w:cs="Tahoma"/>
          <w:szCs w:val="22"/>
        </w:rPr>
      </w:pPr>
    </w:p>
    <w:p w:rsidR="00523E25" w:rsidRPr="00A835A7" w:rsidRDefault="00523E25" w:rsidP="00523E25">
      <w:pPr>
        <w:pStyle w:val="Textoindependiente"/>
        <w:numPr>
          <w:ilvl w:val="0"/>
          <w:numId w:val="6"/>
        </w:numPr>
        <w:tabs>
          <w:tab w:val="clear" w:pos="1080"/>
          <w:tab w:val="left" w:pos="0"/>
        </w:tabs>
        <w:ind w:left="567" w:hanging="567"/>
        <w:rPr>
          <w:rFonts w:cs="Tahoma"/>
          <w:szCs w:val="22"/>
        </w:rPr>
      </w:pPr>
      <w:r>
        <w:rPr>
          <w:rFonts w:cs="Tahoma"/>
          <w:szCs w:val="22"/>
        </w:rPr>
        <w:t>Ahora bien, respecto a que no se ha tomado en cuenta el plazo de prescripción</w:t>
      </w:r>
      <w:r w:rsidRPr="00A835A7">
        <w:rPr>
          <w:rFonts w:cs="Tahoma"/>
          <w:szCs w:val="22"/>
          <w:lang w:val="es-PE"/>
        </w:rPr>
        <w:t xml:space="preserve">, se debe señalar que </w:t>
      </w:r>
      <w:r>
        <w:rPr>
          <w:rFonts w:cs="Tahoma"/>
          <w:szCs w:val="22"/>
          <w:lang w:val="es-PE"/>
        </w:rPr>
        <w:t>en la s</w:t>
      </w:r>
      <w:r w:rsidRPr="00A835A7">
        <w:rPr>
          <w:rFonts w:cs="Tahoma"/>
          <w:szCs w:val="22"/>
          <w:lang w:val="es-PE"/>
        </w:rPr>
        <w:t xml:space="preserve">entencia del Tribunal Constitucional de fecha </w:t>
      </w:r>
      <w:r w:rsidRPr="00A835A7">
        <w:rPr>
          <w:rFonts w:cs="Tahoma"/>
          <w:szCs w:val="22"/>
        </w:rPr>
        <w:t>26 de agosto de 2004</w:t>
      </w:r>
      <w:r>
        <w:rPr>
          <w:rFonts w:cs="Tahoma"/>
          <w:szCs w:val="22"/>
        </w:rPr>
        <w:t>,</w:t>
      </w:r>
      <w:r w:rsidRPr="00A835A7">
        <w:rPr>
          <w:rFonts w:cs="Tahoma"/>
          <w:szCs w:val="22"/>
        </w:rPr>
        <w:t xml:space="preserve"> referente al Expediente Nº </w:t>
      </w:r>
      <w:r w:rsidRPr="00A835A7">
        <w:rPr>
          <w:rFonts w:cs="Tahoma"/>
          <w:bCs/>
          <w:szCs w:val="22"/>
        </w:rPr>
        <w:t>2627-2004-AA/TC, se ha indicado literalmente en sus fundamentos e, f y g de su numeral 3) , lo siguiente:</w:t>
      </w:r>
    </w:p>
    <w:p w:rsidR="00523E25" w:rsidRPr="00A835A7" w:rsidRDefault="00523E25" w:rsidP="00523E25">
      <w:pPr>
        <w:jc w:val="both"/>
        <w:rPr>
          <w:rFonts w:ascii="Tahoma" w:hAnsi="Tahoma" w:cs="Tahoma"/>
          <w:bCs/>
          <w:sz w:val="22"/>
          <w:szCs w:val="22"/>
        </w:rPr>
      </w:pPr>
    </w:p>
    <w:p w:rsidR="00523E25" w:rsidRPr="00A835A7" w:rsidRDefault="00523E25" w:rsidP="00523E25">
      <w:pPr>
        <w:ind w:left="709" w:right="566"/>
        <w:jc w:val="both"/>
        <w:rPr>
          <w:rFonts w:ascii="Tahoma" w:hAnsi="Tahoma" w:cs="Tahoma"/>
          <w:i/>
          <w:sz w:val="22"/>
          <w:szCs w:val="22"/>
          <w:lang w:val="es-ES_tradnl"/>
        </w:rPr>
      </w:pPr>
      <w:r w:rsidRPr="00A835A7">
        <w:rPr>
          <w:rFonts w:ascii="Tahoma" w:hAnsi="Tahoma" w:cs="Tahoma"/>
          <w:sz w:val="22"/>
          <w:szCs w:val="22"/>
          <w:lang w:val="es-ES_tradnl"/>
        </w:rPr>
        <w:t>“</w:t>
      </w:r>
      <w:r w:rsidRPr="00A835A7">
        <w:rPr>
          <w:rFonts w:ascii="Tahoma" w:hAnsi="Tahoma" w:cs="Tahoma"/>
          <w:i/>
          <w:sz w:val="22"/>
          <w:szCs w:val="22"/>
          <w:lang w:val="es-ES_tradnl"/>
        </w:rPr>
        <w:t xml:space="preserve">e. Hecha la precisión, conviene señalar que el inciso 3) del artículo 233° de la Ley N.° 27444 [norma de superior jerarquía a las disposiciones del Reglamento Disciplinario aprobado por Resolución N.° 032-2000-CNM, y en vigor a la fecha de apertura de la investigación en febrero de 2002] dispone que </w:t>
      </w:r>
      <w:r w:rsidRPr="00A835A7">
        <w:rPr>
          <w:rFonts w:ascii="Tahoma" w:hAnsi="Tahoma" w:cs="Tahoma"/>
          <w:i/>
          <w:sz w:val="22"/>
          <w:szCs w:val="22"/>
          <w:u w:val="single"/>
          <w:lang w:val="es-ES_tradnl"/>
        </w:rPr>
        <w:t>los administrados plantean la excepción por vía de defensa</w:t>
      </w:r>
      <w:r w:rsidRPr="00A835A7">
        <w:rPr>
          <w:rFonts w:ascii="Tahoma" w:hAnsi="Tahoma" w:cs="Tahoma"/>
          <w:i/>
          <w:sz w:val="22"/>
          <w:szCs w:val="22"/>
          <w:lang w:val="es-ES_tradnl"/>
        </w:rPr>
        <w:t>. Por tanto, queda claro que la excepción de prescripción no opera de pleno derecho, sino a instancia de parte por vía de defensa.</w:t>
      </w:r>
    </w:p>
    <w:p w:rsidR="00523E25" w:rsidRPr="00A835A7" w:rsidRDefault="00523E25" w:rsidP="00523E25">
      <w:pPr>
        <w:tabs>
          <w:tab w:val="num" w:pos="709"/>
        </w:tabs>
        <w:ind w:left="709" w:right="566"/>
        <w:jc w:val="both"/>
        <w:rPr>
          <w:rFonts w:ascii="Tahoma" w:hAnsi="Tahoma" w:cs="Tahoma"/>
          <w:i/>
          <w:sz w:val="22"/>
          <w:szCs w:val="22"/>
          <w:lang w:val="es-ES_tradnl"/>
        </w:rPr>
      </w:pPr>
      <w:r w:rsidRPr="00A835A7">
        <w:rPr>
          <w:rFonts w:ascii="Tahoma" w:hAnsi="Tahoma" w:cs="Tahoma"/>
          <w:i/>
          <w:sz w:val="22"/>
          <w:szCs w:val="22"/>
          <w:lang w:val="es-ES_tradnl"/>
        </w:rPr>
        <w:t> </w:t>
      </w:r>
    </w:p>
    <w:p w:rsidR="00523E25" w:rsidRPr="00A835A7" w:rsidRDefault="00523E25" w:rsidP="00523E25">
      <w:pPr>
        <w:ind w:left="709" w:right="566"/>
        <w:jc w:val="both"/>
        <w:rPr>
          <w:rFonts w:ascii="Tahoma" w:hAnsi="Tahoma" w:cs="Tahoma"/>
          <w:b/>
          <w:i/>
          <w:sz w:val="22"/>
          <w:szCs w:val="22"/>
          <w:lang w:val="es-ES_tradnl"/>
        </w:rPr>
      </w:pPr>
      <w:r w:rsidRPr="00A835A7">
        <w:rPr>
          <w:rFonts w:ascii="Tahoma" w:hAnsi="Tahoma" w:cs="Tahoma"/>
          <w:i/>
          <w:sz w:val="22"/>
          <w:szCs w:val="22"/>
          <w:lang w:val="es-ES_tradnl"/>
        </w:rPr>
        <w:t xml:space="preserve">f. De autos (f. 4) se aprecia la Resolución N.° 066-2002-PCNM, del 12 de agosto de 2002, que le impuso al actor la medida disciplinaria de </w:t>
      </w:r>
      <w:r w:rsidRPr="00A835A7">
        <w:rPr>
          <w:rFonts w:ascii="Tahoma" w:hAnsi="Tahoma" w:cs="Tahoma"/>
          <w:i/>
          <w:sz w:val="22"/>
          <w:szCs w:val="22"/>
          <w:lang w:val="es-ES_tradnl"/>
        </w:rPr>
        <w:lastRenderedPageBreak/>
        <w:t xml:space="preserve">destitución. Sin embargo, de los recursos de reconsideración del 20 de agosto y 5 de setiembre de 2002, que en copia corren a fojas 55 y 58 de autos, respectivamente, en concordancia con la Resolución N.° 453-2002-PCNM, del 9 de octubre de 2002, se desprende que </w:t>
      </w:r>
      <w:r w:rsidRPr="00A835A7">
        <w:rPr>
          <w:rFonts w:ascii="Tahoma" w:hAnsi="Tahoma" w:cs="Tahoma"/>
          <w:b/>
          <w:i/>
          <w:sz w:val="22"/>
          <w:szCs w:val="22"/>
          <w:u w:val="single"/>
          <w:lang w:val="es-ES_tradnl"/>
        </w:rPr>
        <w:t>el actor, recién el 5 de setiembre de 2002, planteó la excepción de prescripción, esto es, con posterioridad a la expedición de la resolución de destitución</w:t>
      </w:r>
      <w:r w:rsidRPr="00A835A7">
        <w:rPr>
          <w:rFonts w:ascii="Tahoma" w:hAnsi="Tahoma" w:cs="Tahoma"/>
          <w:b/>
          <w:i/>
          <w:sz w:val="22"/>
          <w:szCs w:val="22"/>
          <w:lang w:val="es-ES_tradnl"/>
        </w:rPr>
        <w:t>.</w:t>
      </w:r>
    </w:p>
    <w:p w:rsidR="00523E25" w:rsidRPr="00A835A7" w:rsidRDefault="00523E25" w:rsidP="00523E25">
      <w:pPr>
        <w:tabs>
          <w:tab w:val="num" w:pos="709"/>
        </w:tabs>
        <w:ind w:left="709" w:right="566"/>
        <w:jc w:val="both"/>
        <w:rPr>
          <w:rFonts w:ascii="Tahoma" w:hAnsi="Tahoma" w:cs="Tahoma"/>
          <w:i/>
          <w:sz w:val="22"/>
          <w:szCs w:val="22"/>
          <w:lang w:val="es-ES_tradnl"/>
        </w:rPr>
      </w:pPr>
      <w:r w:rsidRPr="00A835A7">
        <w:rPr>
          <w:rFonts w:ascii="Tahoma" w:hAnsi="Tahoma" w:cs="Tahoma"/>
          <w:i/>
          <w:sz w:val="22"/>
          <w:szCs w:val="22"/>
          <w:lang w:val="es-ES_tradnl"/>
        </w:rPr>
        <w:t> </w:t>
      </w:r>
    </w:p>
    <w:p w:rsidR="00523E25" w:rsidRPr="00A835A7" w:rsidRDefault="00523E25" w:rsidP="00523E25">
      <w:pPr>
        <w:ind w:left="709" w:right="566"/>
        <w:jc w:val="both"/>
        <w:rPr>
          <w:rFonts w:ascii="Tahoma" w:hAnsi="Tahoma" w:cs="Tahoma"/>
          <w:sz w:val="22"/>
          <w:szCs w:val="22"/>
          <w:lang w:val="es-ES_tradnl"/>
        </w:rPr>
      </w:pPr>
      <w:r w:rsidRPr="00A835A7">
        <w:rPr>
          <w:rFonts w:ascii="Tahoma" w:hAnsi="Tahoma" w:cs="Tahoma"/>
          <w:i/>
          <w:sz w:val="22"/>
          <w:szCs w:val="22"/>
          <w:lang w:val="es-ES_tradnl"/>
        </w:rPr>
        <w:t>g. Siendo ello así, mal puede argumentarse que la resolución de destitución transgredió disposición legal alguna, dado que, como se ha explicado, la excepción debió ser denunciada oportunamente por el actor como medio de defensa, esto es, antes de que fuera expulsado de la magistratura, tanto más cuanto que no era facultad de la Administración invocarla de oficio</w:t>
      </w:r>
      <w:r w:rsidRPr="00A835A7">
        <w:rPr>
          <w:rFonts w:ascii="Tahoma" w:hAnsi="Tahoma" w:cs="Tahoma"/>
          <w:sz w:val="22"/>
          <w:szCs w:val="22"/>
          <w:lang w:val="es-ES_tradnl"/>
        </w:rPr>
        <w:t>”.</w:t>
      </w:r>
    </w:p>
    <w:p w:rsidR="00523E25" w:rsidRPr="00A835A7" w:rsidRDefault="00523E25" w:rsidP="00523E25">
      <w:pPr>
        <w:ind w:left="709" w:right="566"/>
        <w:jc w:val="both"/>
        <w:rPr>
          <w:rFonts w:ascii="Tahoma" w:hAnsi="Tahoma" w:cs="Tahoma"/>
          <w:sz w:val="22"/>
          <w:szCs w:val="22"/>
          <w:lang w:val="es-ES_tradnl"/>
        </w:rPr>
      </w:pPr>
    </w:p>
    <w:p w:rsidR="00523E25" w:rsidRPr="00A835A7" w:rsidRDefault="00523E25" w:rsidP="00523E25">
      <w:pPr>
        <w:pStyle w:val="Textoindependiente"/>
        <w:numPr>
          <w:ilvl w:val="0"/>
          <w:numId w:val="6"/>
        </w:numPr>
        <w:tabs>
          <w:tab w:val="clear" w:pos="1080"/>
          <w:tab w:val="left" w:pos="0"/>
        </w:tabs>
        <w:ind w:left="567" w:hanging="567"/>
        <w:rPr>
          <w:rFonts w:cs="Tahoma"/>
          <w:szCs w:val="22"/>
        </w:rPr>
      </w:pPr>
      <w:r w:rsidRPr="00A835A7">
        <w:rPr>
          <w:rFonts w:cs="Tahoma"/>
          <w:szCs w:val="22"/>
        </w:rPr>
        <w:t>Como se puede advertir, el Tribunal Constitucional considera que la prescripción debe ser planteada como vía de defensa antes que la Administración Pública emita su pronunciamiento, caso contrario, la misma no opera, al no ser planteada de manera oportuna.</w:t>
      </w:r>
    </w:p>
    <w:p w:rsidR="00523E25" w:rsidRPr="00A835A7" w:rsidRDefault="00523E25" w:rsidP="00523E25">
      <w:pPr>
        <w:pStyle w:val="Textoindependiente"/>
        <w:tabs>
          <w:tab w:val="left" w:pos="0"/>
        </w:tabs>
        <w:ind w:left="567"/>
        <w:rPr>
          <w:rFonts w:cs="Tahoma"/>
          <w:szCs w:val="22"/>
        </w:rPr>
      </w:pPr>
    </w:p>
    <w:p w:rsidR="00523E25" w:rsidRPr="00A835A7" w:rsidRDefault="00523E25" w:rsidP="00523E25">
      <w:pPr>
        <w:pStyle w:val="Textoindependiente"/>
        <w:numPr>
          <w:ilvl w:val="0"/>
          <w:numId w:val="6"/>
        </w:numPr>
        <w:tabs>
          <w:tab w:val="clear" w:pos="1080"/>
          <w:tab w:val="left" w:pos="0"/>
        </w:tabs>
        <w:ind w:left="567" w:hanging="567"/>
        <w:rPr>
          <w:rFonts w:cs="Tahoma"/>
          <w:szCs w:val="22"/>
        </w:rPr>
      </w:pPr>
      <w:r w:rsidRPr="00A835A7">
        <w:rPr>
          <w:rFonts w:cs="Tahoma"/>
          <w:szCs w:val="22"/>
        </w:rPr>
        <w:t>Ahora bien, este Tribunal en anteriores ocasiones, y en la misma línea argumentativa establecida por el Tribunal Constitucional, ya se ha pronunciado respecto a dicha circunstancia, señalando que la solicitud de prescripción debía ser planteada e invocada antes que emita su pronunciamiento</w:t>
      </w:r>
      <w:r w:rsidRPr="00A835A7">
        <w:rPr>
          <w:rStyle w:val="Refdenotaalpie"/>
          <w:rFonts w:cs="Tahoma"/>
          <w:szCs w:val="22"/>
        </w:rPr>
        <w:footnoteReference w:id="2"/>
      </w:r>
      <w:r w:rsidRPr="00A835A7">
        <w:rPr>
          <w:rFonts w:cs="Tahoma"/>
          <w:szCs w:val="22"/>
        </w:rPr>
        <w:t>.</w:t>
      </w:r>
    </w:p>
    <w:p w:rsidR="00523E25" w:rsidRPr="00A835A7" w:rsidRDefault="00523E25" w:rsidP="00523E25">
      <w:pPr>
        <w:pStyle w:val="Prrafodelista"/>
        <w:rPr>
          <w:rFonts w:ascii="Tahoma" w:hAnsi="Tahoma" w:cs="Tahoma"/>
          <w:sz w:val="22"/>
          <w:szCs w:val="22"/>
        </w:rPr>
      </w:pPr>
    </w:p>
    <w:p w:rsidR="00523E25" w:rsidRPr="00A835A7" w:rsidRDefault="00523E25" w:rsidP="00523E25">
      <w:pPr>
        <w:pStyle w:val="Textoindependiente"/>
        <w:numPr>
          <w:ilvl w:val="0"/>
          <w:numId w:val="6"/>
        </w:numPr>
        <w:tabs>
          <w:tab w:val="clear" w:pos="1080"/>
          <w:tab w:val="left" w:pos="0"/>
        </w:tabs>
        <w:ind w:left="567" w:hanging="567"/>
        <w:rPr>
          <w:rFonts w:cs="Tahoma"/>
          <w:szCs w:val="22"/>
        </w:rPr>
      </w:pPr>
      <w:r w:rsidRPr="00A835A7">
        <w:rPr>
          <w:rFonts w:cs="Tahoma"/>
          <w:szCs w:val="22"/>
        </w:rPr>
        <w:t>Por lo señalado</w:t>
      </w:r>
      <w:r>
        <w:rPr>
          <w:rFonts w:cs="Tahoma"/>
          <w:szCs w:val="22"/>
        </w:rPr>
        <w:t>, teniendo en cuenta que no se ha</w:t>
      </w:r>
      <w:r w:rsidRPr="00A835A7">
        <w:rPr>
          <w:rFonts w:cs="Tahoma"/>
          <w:szCs w:val="22"/>
        </w:rPr>
        <w:t xml:space="preserve"> planteado la prescripción antes que este Tribunal emita su pronunciamiento, es decir cuando emitió la resolución recurrida</w:t>
      </w:r>
      <w:r>
        <w:rPr>
          <w:rFonts w:cs="Tahoma"/>
          <w:szCs w:val="22"/>
        </w:rPr>
        <w:t>,</w:t>
      </w:r>
      <w:r w:rsidRPr="00A835A7">
        <w:rPr>
          <w:rFonts w:cs="Tahoma"/>
          <w:szCs w:val="22"/>
        </w:rPr>
        <w:t xml:space="preserve"> el pedido de prescripción no opera para el presente caso.</w:t>
      </w:r>
    </w:p>
    <w:p w:rsidR="00523E25" w:rsidRPr="00FB32F7" w:rsidRDefault="00523E25" w:rsidP="00523E25">
      <w:pPr>
        <w:pStyle w:val="Textoindependiente"/>
        <w:tabs>
          <w:tab w:val="left" w:pos="0"/>
        </w:tabs>
        <w:ind w:left="567" w:right="-1"/>
        <w:rPr>
          <w:rFonts w:cs="Tahoma"/>
          <w:szCs w:val="22"/>
        </w:rPr>
      </w:pPr>
    </w:p>
    <w:p w:rsidR="00523E25" w:rsidRPr="00FB32F7" w:rsidRDefault="00523E25" w:rsidP="00523E25">
      <w:pPr>
        <w:pStyle w:val="Textoindependiente"/>
        <w:numPr>
          <w:ilvl w:val="0"/>
          <w:numId w:val="6"/>
        </w:numPr>
        <w:tabs>
          <w:tab w:val="clear" w:pos="1080"/>
          <w:tab w:val="left" w:pos="-2340"/>
        </w:tabs>
        <w:ind w:left="540" w:hanging="540"/>
        <w:rPr>
          <w:rFonts w:cs="Tahoma"/>
          <w:szCs w:val="22"/>
        </w:rPr>
      </w:pPr>
      <w:r w:rsidRPr="00FB32F7">
        <w:rPr>
          <w:rFonts w:cs="Tahoma"/>
          <w:szCs w:val="22"/>
        </w:rPr>
        <w:t xml:space="preserve">Por lo antes expuesto, corresponde declarar infundado el recurso de reconsideración interpuesto, confirmando lo dispuesto por la Resolución </w:t>
      </w:r>
      <w:r w:rsidRPr="00FB32F7">
        <w:rPr>
          <w:rFonts w:cs="Tahoma"/>
          <w:color w:val="000000" w:themeColor="text1"/>
          <w:szCs w:val="22"/>
        </w:rPr>
        <w:t xml:space="preserve">Nº </w:t>
      </w:r>
      <w:r w:rsidRPr="00FB32F7">
        <w:rPr>
          <w:rFonts w:cs="Tahoma"/>
          <w:szCs w:val="22"/>
        </w:rPr>
        <w:t>1085-2011-TC-S1 de fecha 22 de junio del 2011 y, por tanto imponerle la sanción administrativa de inhabilitación temporal en sus derechos para participar en procesos de selección y contratar con el Estado, por el periodo ocho (08) meses.</w:t>
      </w:r>
    </w:p>
    <w:p w:rsidR="00523E25" w:rsidRPr="009717D5" w:rsidRDefault="00523E25" w:rsidP="00523E25">
      <w:pPr>
        <w:pStyle w:val="Sangradetextonormal"/>
        <w:widowControl w:val="0"/>
        <w:suppressAutoHyphens/>
        <w:spacing w:after="0"/>
        <w:ind w:left="567"/>
        <w:jc w:val="both"/>
        <w:rPr>
          <w:rFonts w:ascii="Tahoma" w:hAnsi="Tahoma" w:cs="Tahoma"/>
          <w:sz w:val="21"/>
          <w:szCs w:val="21"/>
          <w:lang w:val="es-ES_tradnl"/>
        </w:rPr>
      </w:pPr>
    </w:p>
    <w:p w:rsidR="00523E25" w:rsidRDefault="00523E25" w:rsidP="00523E25">
      <w:pPr>
        <w:tabs>
          <w:tab w:val="left" w:pos="3544"/>
          <w:tab w:val="left" w:pos="7230"/>
          <w:tab w:val="left" w:pos="8505"/>
        </w:tabs>
        <w:ind w:right="-1"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w:t>
      </w:r>
      <w:r>
        <w:rPr>
          <w:rFonts w:ascii="Tahoma" w:eastAsiaTheme="minorHAnsi" w:hAnsi="Tahoma" w:cs="Tahoma"/>
          <w:color w:val="000000"/>
          <w:sz w:val="22"/>
          <w:szCs w:val="22"/>
        </w:rPr>
        <w:t>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1017, y los artículos 17 y 18 del </w:t>
      </w:r>
      <w:r w:rsidRPr="00BC0DA0">
        <w:rPr>
          <w:rFonts w:ascii="Tahoma" w:eastAsiaTheme="minorHAnsi" w:hAnsi="Tahoma" w:cs="Tahoma"/>
          <w:color w:val="000000"/>
          <w:sz w:val="22"/>
          <w:szCs w:val="22"/>
        </w:rPr>
        <w:lastRenderedPageBreak/>
        <w:t>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523E25" w:rsidRPr="004929CB" w:rsidRDefault="00523E25" w:rsidP="00523E25">
      <w:pPr>
        <w:tabs>
          <w:tab w:val="left" w:pos="3544"/>
          <w:tab w:val="left" w:pos="7230"/>
          <w:tab w:val="left" w:pos="8505"/>
        </w:tabs>
        <w:ind w:right="-486" w:firstLine="454"/>
        <w:jc w:val="both"/>
        <w:rPr>
          <w:rFonts w:ascii="Tahoma" w:hAnsi="Tahoma" w:cs="Tahoma"/>
          <w:sz w:val="21"/>
          <w:szCs w:val="21"/>
        </w:rPr>
      </w:pPr>
    </w:p>
    <w:p w:rsidR="00523E25" w:rsidRPr="004929CB" w:rsidRDefault="00523E25" w:rsidP="00523E25">
      <w:pPr>
        <w:tabs>
          <w:tab w:val="num" w:pos="360"/>
          <w:tab w:val="left" w:pos="3544"/>
          <w:tab w:val="left" w:pos="7230"/>
          <w:tab w:val="left" w:pos="8505"/>
        </w:tabs>
        <w:ind w:left="-180" w:right="-486" w:firstLine="180"/>
        <w:jc w:val="both"/>
        <w:rPr>
          <w:rFonts w:ascii="Tahoma" w:hAnsi="Tahoma" w:cs="Tahoma"/>
          <w:b/>
          <w:shadow/>
          <w:sz w:val="21"/>
          <w:szCs w:val="21"/>
        </w:rPr>
      </w:pPr>
      <w:r w:rsidRPr="004929CB">
        <w:rPr>
          <w:rFonts w:ascii="Tahoma" w:hAnsi="Tahoma" w:cs="Tahoma"/>
          <w:b/>
          <w:shadow/>
          <w:sz w:val="21"/>
          <w:szCs w:val="21"/>
        </w:rPr>
        <w:t>LA SALA RESUELVE:</w:t>
      </w:r>
    </w:p>
    <w:p w:rsidR="00523E25" w:rsidRPr="004929CB" w:rsidRDefault="00523E25" w:rsidP="00523E25">
      <w:pPr>
        <w:tabs>
          <w:tab w:val="num" w:pos="360"/>
          <w:tab w:val="left" w:pos="3544"/>
          <w:tab w:val="left" w:pos="7230"/>
          <w:tab w:val="left" w:pos="8505"/>
        </w:tabs>
        <w:ind w:left="-180" w:right="-486" w:firstLine="180"/>
        <w:jc w:val="both"/>
        <w:rPr>
          <w:rFonts w:ascii="Tahoma" w:hAnsi="Tahoma" w:cs="Tahoma"/>
          <w:b/>
          <w:shadow/>
          <w:sz w:val="21"/>
          <w:szCs w:val="21"/>
        </w:rPr>
      </w:pPr>
    </w:p>
    <w:p w:rsidR="00523E25" w:rsidRPr="00FB32F7" w:rsidRDefault="00523E25" w:rsidP="00523E25">
      <w:pPr>
        <w:pStyle w:val="Prrafodelista1"/>
        <w:widowControl w:val="0"/>
        <w:numPr>
          <w:ilvl w:val="0"/>
          <w:numId w:val="11"/>
        </w:numPr>
        <w:tabs>
          <w:tab w:val="clear" w:pos="760"/>
        </w:tabs>
        <w:suppressAutoHyphens/>
        <w:ind w:left="567" w:hanging="567"/>
        <w:jc w:val="both"/>
        <w:rPr>
          <w:rFonts w:ascii="Tahoma" w:hAnsi="Tahoma" w:cs="Tahoma"/>
          <w:sz w:val="22"/>
          <w:szCs w:val="22"/>
        </w:rPr>
      </w:pPr>
      <w:r w:rsidRPr="00FB32F7">
        <w:rPr>
          <w:rFonts w:ascii="Tahoma" w:hAnsi="Tahoma" w:cs="Tahoma"/>
          <w:sz w:val="22"/>
          <w:szCs w:val="22"/>
        </w:rPr>
        <w:t xml:space="preserve">Declarar infundado el recurso de reconsideración interpuesto, confirmando lo dispuesto por la Resolución </w:t>
      </w:r>
      <w:r w:rsidRPr="00FB32F7">
        <w:rPr>
          <w:rFonts w:ascii="Tahoma" w:hAnsi="Tahoma" w:cs="Tahoma"/>
          <w:color w:val="000000" w:themeColor="text1"/>
          <w:sz w:val="22"/>
          <w:szCs w:val="22"/>
        </w:rPr>
        <w:t xml:space="preserve">Nº </w:t>
      </w:r>
      <w:r w:rsidRPr="00FB32F7">
        <w:rPr>
          <w:rFonts w:ascii="Tahoma" w:hAnsi="Tahoma" w:cs="Tahoma"/>
          <w:sz w:val="22"/>
          <w:szCs w:val="22"/>
        </w:rPr>
        <w:t xml:space="preserve">1085-2011-TC-S1 de fecha 22 de junio del 2011 y, por tanto, ratificar la sanción impuesta a </w:t>
      </w:r>
      <w:r>
        <w:rPr>
          <w:rFonts w:ascii="Tahoma" w:hAnsi="Tahoma" w:cs="Tahoma"/>
          <w:sz w:val="22"/>
          <w:szCs w:val="22"/>
        </w:rPr>
        <w:t xml:space="preserve">la empresa </w:t>
      </w:r>
      <w:r w:rsidRPr="00FB32F7">
        <w:rPr>
          <w:rFonts w:ascii="Tahoma" w:hAnsi="Tahoma" w:cs="Tahoma"/>
          <w:sz w:val="22"/>
          <w:szCs w:val="22"/>
        </w:rPr>
        <w:t>CONSTRUCTORA NEPAL S.A.C., de inhabilitación temporal en sus derechos para participar en procesos de selección y contratar con el Estado, por el periodo ocho (08) meses.</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Prrafodelista"/>
        <w:widowControl w:val="0"/>
        <w:numPr>
          <w:ilvl w:val="0"/>
          <w:numId w:val="11"/>
        </w:numPr>
        <w:tabs>
          <w:tab w:val="clear" w:pos="760"/>
        </w:tabs>
        <w:suppressAutoHyphens/>
        <w:ind w:left="567" w:hanging="567"/>
        <w:jc w:val="both"/>
        <w:rPr>
          <w:rFonts w:ascii="Tahoma" w:hAnsi="Tahoma" w:cs="Tahoma"/>
          <w:sz w:val="22"/>
          <w:szCs w:val="22"/>
        </w:rPr>
      </w:pPr>
      <w:r w:rsidRPr="00FB32F7">
        <w:rPr>
          <w:rFonts w:ascii="Tahoma" w:hAnsi="Tahoma" w:cs="Tahoma"/>
          <w:sz w:val="22"/>
          <w:szCs w:val="22"/>
        </w:rPr>
        <w:t>Comunicar la presente resolución al Registro Nacional de Proveedores del Organismo Supervisor de las Contrataciones del Estado (OSCE), para las anotaciones de Ley</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Prrafodelista"/>
        <w:widowControl w:val="0"/>
        <w:numPr>
          <w:ilvl w:val="0"/>
          <w:numId w:val="11"/>
        </w:numPr>
        <w:tabs>
          <w:tab w:val="clear" w:pos="760"/>
        </w:tabs>
        <w:suppressAutoHyphens/>
        <w:ind w:left="567" w:hanging="567"/>
        <w:jc w:val="both"/>
        <w:rPr>
          <w:rFonts w:ascii="Tahoma" w:hAnsi="Tahoma" w:cs="Tahoma"/>
          <w:sz w:val="22"/>
          <w:szCs w:val="22"/>
        </w:rPr>
      </w:pPr>
      <w:r w:rsidRPr="00FB32F7">
        <w:rPr>
          <w:rFonts w:ascii="Tahoma" w:hAnsi="Tahoma" w:cs="Tahoma"/>
          <w:sz w:val="22"/>
          <w:szCs w:val="22"/>
        </w:rPr>
        <w:t xml:space="preserve">Ejecutar la garantía otorgada por </w:t>
      </w:r>
      <w:r>
        <w:rPr>
          <w:rFonts w:ascii="Tahoma" w:hAnsi="Tahoma" w:cs="Tahoma"/>
          <w:sz w:val="22"/>
          <w:szCs w:val="22"/>
        </w:rPr>
        <w:t xml:space="preserve">la empresa </w:t>
      </w:r>
      <w:r w:rsidRPr="00FB32F7">
        <w:rPr>
          <w:rFonts w:ascii="Tahoma" w:hAnsi="Tahoma" w:cs="Tahoma"/>
          <w:sz w:val="22"/>
          <w:szCs w:val="22"/>
        </w:rPr>
        <w:t>CONSTRUCTORA NEPAL S.A.C. para la interposición del recurso de reconsideración.</w:t>
      </w:r>
    </w:p>
    <w:p w:rsidR="00523E25" w:rsidRPr="00FB32F7" w:rsidRDefault="00523E25" w:rsidP="00523E25">
      <w:pPr>
        <w:pStyle w:val="Prrafodelista"/>
        <w:rPr>
          <w:rFonts w:ascii="Tahoma" w:hAnsi="Tahoma" w:cs="Tahoma"/>
          <w:sz w:val="22"/>
          <w:szCs w:val="22"/>
        </w:rPr>
      </w:pPr>
    </w:p>
    <w:p w:rsidR="00523E25" w:rsidRPr="00FB32F7" w:rsidRDefault="00523E25" w:rsidP="00523E25">
      <w:pPr>
        <w:pStyle w:val="Prrafodelista"/>
        <w:widowControl w:val="0"/>
        <w:numPr>
          <w:ilvl w:val="0"/>
          <w:numId w:val="11"/>
        </w:numPr>
        <w:tabs>
          <w:tab w:val="clear" w:pos="760"/>
        </w:tabs>
        <w:suppressAutoHyphens/>
        <w:ind w:left="567" w:hanging="567"/>
        <w:jc w:val="both"/>
        <w:rPr>
          <w:rFonts w:ascii="Tahoma" w:hAnsi="Tahoma" w:cs="Tahoma"/>
          <w:sz w:val="22"/>
          <w:szCs w:val="22"/>
        </w:rPr>
      </w:pPr>
      <w:r w:rsidRPr="00FB32F7">
        <w:rPr>
          <w:rFonts w:ascii="Tahoma" w:hAnsi="Tahoma" w:cs="Tahoma"/>
          <w:sz w:val="22"/>
          <w:szCs w:val="22"/>
        </w:rPr>
        <w:t>Dar por agotada la vía administrativa.</w:t>
      </w:r>
    </w:p>
    <w:p w:rsidR="00523E25" w:rsidRPr="004929CB" w:rsidRDefault="00523E25" w:rsidP="00523E25">
      <w:pPr>
        <w:ind w:left="454"/>
        <w:jc w:val="both"/>
        <w:rPr>
          <w:rFonts w:ascii="Tahoma" w:hAnsi="Tahoma" w:cs="Tahoma"/>
          <w:sz w:val="21"/>
          <w:szCs w:val="21"/>
        </w:rPr>
      </w:pPr>
    </w:p>
    <w:p w:rsidR="00523E25" w:rsidRPr="00523E25" w:rsidRDefault="00523E25" w:rsidP="00523E25">
      <w:pPr>
        <w:pStyle w:val="Textoindependiente21"/>
        <w:tabs>
          <w:tab w:val="left" w:pos="3544"/>
          <w:tab w:val="left" w:pos="7230"/>
          <w:tab w:val="left" w:pos="8505"/>
        </w:tabs>
        <w:ind w:right="-486"/>
        <w:rPr>
          <w:rFonts w:cs="Tahoma"/>
          <w:szCs w:val="22"/>
        </w:rPr>
      </w:pPr>
      <w:r w:rsidRPr="00523E25">
        <w:rPr>
          <w:rFonts w:cs="Tahoma"/>
          <w:szCs w:val="22"/>
        </w:rPr>
        <w:t>Regístrese, comuníquese y publíquese.</w:t>
      </w:r>
    </w:p>
    <w:p w:rsidR="00523E25" w:rsidRPr="00523E25" w:rsidRDefault="00523E25" w:rsidP="00523E25">
      <w:pPr>
        <w:tabs>
          <w:tab w:val="left" w:pos="3544"/>
          <w:tab w:val="left" w:pos="7230"/>
          <w:tab w:val="left" w:pos="8505"/>
        </w:tabs>
        <w:ind w:right="-486"/>
        <w:jc w:val="center"/>
        <w:rPr>
          <w:rFonts w:ascii="Tahoma" w:hAnsi="Tahoma" w:cs="Tahoma"/>
          <w:b/>
          <w:sz w:val="22"/>
          <w:szCs w:val="22"/>
        </w:rPr>
      </w:pPr>
    </w:p>
    <w:p w:rsidR="00523E25" w:rsidRPr="00523E25" w:rsidRDefault="00523E25" w:rsidP="00523E25">
      <w:pPr>
        <w:tabs>
          <w:tab w:val="left" w:pos="3544"/>
          <w:tab w:val="left" w:pos="7230"/>
          <w:tab w:val="left" w:pos="8505"/>
        </w:tabs>
        <w:ind w:right="-486"/>
        <w:jc w:val="center"/>
        <w:rPr>
          <w:rFonts w:ascii="Tahoma" w:hAnsi="Tahoma" w:cs="Tahoma"/>
          <w:b/>
          <w:sz w:val="22"/>
          <w:szCs w:val="22"/>
        </w:rPr>
      </w:pPr>
    </w:p>
    <w:p w:rsidR="00523E25" w:rsidRPr="00523E25" w:rsidRDefault="00523E25" w:rsidP="00523E25">
      <w:pPr>
        <w:tabs>
          <w:tab w:val="left" w:pos="3544"/>
          <w:tab w:val="left" w:pos="7230"/>
          <w:tab w:val="left" w:pos="8505"/>
        </w:tabs>
        <w:ind w:right="-486"/>
        <w:jc w:val="center"/>
        <w:rPr>
          <w:rFonts w:ascii="Tahoma" w:hAnsi="Tahoma" w:cs="Tahoma"/>
          <w:b/>
          <w:sz w:val="22"/>
          <w:szCs w:val="22"/>
        </w:rPr>
      </w:pPr>
    </w:p>
    <w:p w:rsidR="00523E25" w:rsidRPr="00523E25" w:rsidRDefault="00523E25" w:rsidP="00523E25">
      <w:pPr>
        <w:tabs>
          <w:tab w:val="left" w:pos="3544"/>
          <w:tab w:val="left" w:pos="7230"/>
          <w:tab w:val="left" w:pos="8505"/>
        </w:tabs>
        <w:ind w:right="-486"/>
        <w:jc w:val="center"/>
        <w:rPr>
          <w:rFonts w:ascii="Tahoma" w:hAnsi="Tahoma" w:cs="Tahoma"/>
          <w:b/>
          <w:sz w:val="22"/>
          <w:szCs w:val="22"/>
        </w:rPr>
      </w:pPr>
    </w:p>
    <w:p w:rsidR="00523E25" w:rsidRPr="00523E25" w:rsidRDefault="00523E25" w:rsidP="00523E25">
      <w:pPr>
        <w:tabs>
          <w:tab w:val="left" w:pos="3544"/>
          <w:tab w:val="left" w:pos="7230"/>
          <w:tab w:val="left" w:pos="8505"/>
        </w:tabs>
        <w:ind w:right="-486"/>
        <w:jc w:val="center"/>
        <w:rPr>
          <w:rFonts w:ascii="Tahoma" w:hAnsi="Tahoma" w:cs="Tahoma"/>
          <w:b/>
          <w:sz w:val="22"/>
          <w:szCs w:val="22"/>
        </w:rPr>
      </w:pPr>
    </w:p>
    <w:p w:rsidR="00523E25" w:rsidRPr="00523E25" w:rsidRDefault="00523E25" w:rsidP="00523E25">
      <w:pPr>
        <w:tabs>
          <w:tab w:val="left" w:pos="3544"/>
          <w:tab w:val="left" w:pos="7230"/>
          <w:tab w:val="left" w:pos="8505"/>
        </w:tabs>
        <w:ind w:right="-486"/>
        <w:jc w:val="center"/>
        <w:rPr>
          <w:rFonts w:ascii="Tahoma" w:hAnsi="Tahoma" w:cs="Tahoma"/>
          <w:b/>
          <w:sz w:val="22"/>
          <w:szCs w:val="22"/>
        </w:rPr>
      </w:pPr>
    </w:p>
    <w:p w:rsidR="00523E25" w:rsidRPr="00523E25" w:rsidRDefault="00523E25" w:rsidP="00523E25">
      <w:pPr>
        <w:tabs>
          <w:tab w:val="left" w:pos="3544"/>
          <w:tab w:val="left" w:pos="7230"/>
          <w:tab w:val="left" w:pos="8505"/>
        </w:tabs>
        <w:ind w:right="-486"/>
        <w:jc w:val="center"/>
        <w:rPr>
          <w:rFonts w:ascii="Tahoma" w:hAnsi="Tahoma" w:cs="Tahoma"/>
          <w:b/>
          <w:sz w:val="22"/>
          <w:szCs w:val="22"/>
        </w:rPr>
      </w:pPr>
    </w:p>
    <w:p w:rsidR="00523E25" w:rsidRPr="00523E25" w:rsidRDefault="00523E25" w:rsidP="00523E25">
      <w:pPr>
        <w:tabs>
          <w:tab w:val="left" w:pos="3544"/>
          <w:tab w:val="left" w:pos="7230"/>
          <w:tab w:val="left" w:pos="8505"/>
        </w:tabs>
        <w:ind w:right="-486"/>
        <w:jc w:val="center"/>
        <w:rPr>
          <w:rFonts w:ascii="Tahoma" w:hAnsi="Tahoma" w:cs="Tahoma"/>
          <w:b/>
          <w:shadow/>
          <w:sz w:val="22"/>
          <w:szCs w:val="22"/>
          <w:lang w:val="pt-BR"/>
        </w:rPr>
      </w:pPr>
      <w:r w:rsidRPr="00523E25">
        <w:rPr>
          <w:rFonts w:ascii="Tahoma" w:hAnsi="Tahoma" w:cs="Tahoma"/>
          <w:b/>
          <w:shadow/>
          <w:sz w:val="22"/>
          <w:szCs w:val="22"/>
          <w:lang w:val="pt-BR"/>
        </w:rPr>
        <w:t>PRESIDENTE</w:t>
      </w:r>
    </w:p>
    <w:p w:rsidR="00523E25" w:rsidRPr="00523E25" w:rsidRDefault="00523E25" w:rsidP="00523E25">
      <w:pPr>
        <w:tabs>
          <w:tab w:val="left" w:pos="3544"/>
          <w:tab w:val="left" w:pos="7230"/>
          <w:tab w:val="left" w:pos="8505"/>
        </w:tabs>
        <w:ind w:right="-486" w:firstLine="708"/>
        <w:rPr>
          <w:rFonts w:ascii="Tahoma" w:hAnsi="Tahoma" w:cs="Tahoma"/>
          <w:b/>
          <w:shadow/>
          <w:sz w:val="22"/>
          <w:szCs w:val="22"/>
          <w:lang w:val="pt-BR"/>
        </w:rPr>
      </w:pPr>
    </w:p>
    <w:p w:rsidR="00523E25" w:rsidRPr="00523E25" w:rsidRDefault="00523E25" w:rsidP="00523E25">
      <w:pPr>
        <w:tabs>
          <w:tab w:val="left" w:pos="3544"/>
          <w:tab w:val="left" w:pos="7230"/>
          <w:tab w:val="left" w:pos="8505"/>
        </w:tabs>
        <w:ind w:right="-486" w:firstLine="708"/>
        <w:rPr>
          <w:rFonts w:ascii="Tahoma" w:hAnsi="Tahoma" w:cs="Tahoma"/>
          <w:shadow/>
          <w:sz w:val="22"/>
          <w:szCs w:val="22"/>
          <w:lang w:val="pt-BR"/>
        </w:rPr>
      </w:pPr>
      <w:r w:rsidRPr="00523E25">
        <w:rPr>
          <w:rFonts w:ascii="Tahoma" w:hAnsi="Tahoma" w:cs="Tahoma"/>
          <w:b/>
          <w:shadow/>
          <w:sz w:val="22"/>
          <w:szCs w:val="22"/>
          <w:lang w:val="pt-BR"/>
        </w:rPr>
        <w:t xml:space="preserve">    VOCAL                                                                                     VOCAL                                                                                        </w:t>
      </w:r>
    </w:p>
    <w:p w:rsidR="00523E25" w:rsidRPr="00523E25" w:rsidRDefault="00523E25" w:rsidP="00523E25">
      <w:pPr>
        <w:jc w:val="both"/>
        <w:rPr>
          <w:rFonts w:ascii="Tahoma" w:hAnsi="Tahoma" w:cs="Tahoma"/>
          <w:sz w:val="22"/>
          <w:szCs w:val="22"/>
          <w:lang w:val="pt-BR"/>
        </w:rPr>
      </w:pPr>
    </w:p>
    <w:p w:rsidR="00523E25" w:rsidRPr="00523E25" w:rsidRDefault="00523E25" w:rsidP="00523E25">
      <w:pPr>
        <w:jc w:val="both"/>
        <w:rPr>
          <w:rFonts w:ascii="Tahoma" w:hAnsi="Tahoma" w:cs="Tahoma"/>
          <w:sz w:val="22"/>
          <w:szCs w:val="22"/>
          <w:lang w:val="pt-BR"/>
        </w:rPr>
      </w:pPr>
      <w:r w:rsidRPr="00523E25">
        <w:rPr>
          <w:rFonts w:ascii="Tahoma" w:hAnsi="Tahoma" w:cs="Tahoma"/>
          <w:sz w:val="22"/>
          <w:szCs w:val="22"/>
          <w:lang w:val="pt-BR"/>
        </w:rPr>
        <w:t>ss.</w:t>
      </w:r>
    </w:p>
    <w:p w:rsidR="00523E25" w:rsidRPr="00523E25" w:rsidRDefault="00523E25" w:rsidP="00523E25">
      <w:pPr>
        <w:jc w:val="both"/>
        <w:rPr>
          <w:rFonts w:ascii="Tahoma" w:hAnsi="Tahoma" w:cs="Tahoma"/>
          <w:sz w:val="22"/>
          <w:szCs w:val="22"/>
          <w:lang w:val="pt-BR"/>
        </w:rPr>
      </w:pPr>
      <w:r w:rsidRPr="00523E25">
        <w:rPr>
          <w:rFonts w:ascii="Tahoma" w:hAnsi="Tahoma" w:cs="Tahoma"/>
          <w:sz w:val="22"/>
          <w:szCs w:val="22"/>
          <w:lang w:val="pt-BR"/>
        </w:rPr>
        <w:t>Navas Rondón.</w:t>
      </w:r>
    </w:p>
    <w:p w:rsidR="00523E25" w:rsidRPr="00523E25" w:rsidRDefault="00523E25" w:rsidP="00523E25">
      <w:pPr>
        <w:jc w:val="both"/>
        <w:rPr>
          <w:rFonts w:ascii="Tahoma" w:hAnsi="Tahoma" w:cs="Tahoma"/>
          <w:sz w:val="22"/>
          <w:szCs w:val="22"/>
          <w:lang w:val="pt-BR"/>
        </w:rPr>
      </w:pPr>
      <w:r w:rsidRPr="00523E25">
        <w:rPr>
          <w:rFonts w:ascii="Tahoma" w:hAnsi="Tahoma" w:cs="Tahoma"/>
          <w:sz w:val="22"/>
          <w:szCs w:val="22"/>
          <w:lang w:val="pt-BR"/>
        </w:rPr>
        <w:t>Ramírez Maynetto.</w:t>
      </w:r>
    </w:p>
    <w:p w:rsidR="00523E25" w:rsidRPr="00523E25" w:rsidRDefault="00523E25" w:rsidP="00523E25">
      <w:pPr>
        <w:pStyle w:val="Textoindependiente21"/>
        <w:tabs>
          <w:tab w:val="left" w:pos="5250"/>
        </w:tabs>
        <w:rPr>
          <w:szCs w:val="22"/>
        </w:rPr>
      </w:pPr>
      <w:r w:rsidRPr="00523E25">
        <w:rPr>
          <w:rFonts w:cs="Tahoma"/>
          <w:szCs w:val="22"/>
          <w:lang w:val="pt-BR"/>
        </w:rPr>
        <w:t>Basulto Liewald.</w:t>
      </w:r>
    </w:p>
    <w:p w:rsidR="008B738B" w:rsidRDefault="00EE3C11"/>
    <w:sectPr w:rsidR="008B738B" w:rsidSect="00F62AC8">
      <w:headerReference w:type="default" r:id="rId7"/>
      <w:footerReference w:type="even" r:id="rId8"/>
      <w:footerReference w:type="default" r:id="rId9"/>
      <w:pgSz w:w="11907" w:h="16840" w:code="9"/>
      <w:pgMar w:top="3232" w:right="1701" w:bottom="1418" w:left="1701" w:header="72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C11" w:rsidRDefault="00EE3C11" w:rsidP="00523E25">
      <w:r>
        <w:separator/>
      </w:r>
    </w:p>
  </w:endnote>
  <w:endnote w:type="continuationSeparator" w:id="1">
    <w:p w:rsidR="00EE3C11" w:rsidRDefault="00EE3C11" w:rsidP="00523E2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52" w:rsidRDefault="00513BFC" w:rsidP="00E66316">
    <w:pPr>
      <w:pStyle w:val="Piedepgina"/>
      <w:framePr w:wrap="around" w:vAnchor="text" w:hAnchor="margin" w:xAlign="center" w:y="1"/>
      <w:rPr>
        <w:rStyle w:val="Nmerodepgina"/>
      </w:rPr>
    </w:pPr>
    <w:r>
      <w:rPr>
        <w:rStyle w:val="Nmerodepgina"/>
      </w:rPr>
      <w:fldChar w:fldCharType="begin"/>
    </w:r>
    <w:r w:rsidR="001303D0">
      <w:rPr>
        <w:rStyle w:val="Nmerodepgina"/>
      </w:rPr>
      <w:instrText xml:space="preserve">PAGE  </w:instrText>
    </w:r>
    <w:r>
      <w:rPr>
        <w:rStyle w:val="Nmerodepgina"/>
      </w:rPr>
      <w:fldChar w:fldCharType="end"/>
    </w:r>
  </w:p>
  <w:p w:rsidR="00E57252" w:rsidRDefault="00EE3C1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207"/>
      <w:docPartObj>
        <w:docPartGallery w:val="Page Numbers (Bottom of Page)"/>
        <w:docPartUnique/>
      </w:docPartObj>
    </w:sdtPr>
    <w:sdtContent>
      <w:sdt>
        <w:sdtPr>
          <w:id w:val="216747541"/>
          <w:docPartObj>
            <w:docPartGallery w:val="Page Numbers (Top of Page)"/>
            <w:docPartUnique/>
          </w:docPartObj>
        </w:sdtPr>
        <w:sdtContent>
          <w:p w:rsidR="00E97D2B" w:rsidRDefault="001303D0">
            <w:pPr>
              <w:pStyle w:val="Piedepgina"/>
              <w:jc w:val="center"/>
            </w:pPr>
            <w:r>
              <w:t xml:space="preserve">Página </w:t>
            </w:r>
            <w:r w:rsidR="00513BFC">
              <w:rPr>
                <w:b/>
                <w:szCs w:val="24"/>
              </w:rPr>
              <w:fldChar w:fldCharType="begin"/>
            </w:r>
            <w:r>
              <w:rPr>
                <w:b/>
              </w:rPr>
              <w:instrText>PAGE</w:instrText>
            </w:r>
            <w:r w:rsidR="00513BFC">
              <w:rPr>
                <w:b/>
                <w:szCs w:val="24"/>
              </w:rPr>
              <w:fldChar w:fldCharType="separate"/>
            </w:r>
            <w:r w:rsidR="00A35B95">
              <w:rPr>
                <w:b/>
                <w:noProof/>
              </w:rPr>
              <w:t>1</w:t>
            </w:r>
            <w:r w:rsidR="00513BFC">
              <w:rPr>
                <w:b/>
                <w:szCs w:val="24"/>
              </w:rPr>
              <w:fldChar w:fldCharType="end"/>
            </w:r>
            <w:r>
              <w:t xml:space="preserve"> de </w:t>
            </w:r>
            <w:r w:rsidR="00513BFC">
              <w:rPr>
                <w:b/>
                <w:szCs w:val="24"/>
              </w:rPr>
              <w:fldChar w:fldCharType="begin"/>
            </w:r>
            <w:r>
              <w:rPr>
                <w:b/>
              </w:rPr>
              <w:instrText>NUMPAGES</w:instrText>
            </w:r>
            <w:r w:rsidR="00513BFC">
              <w:rPr>
                <w:b/>
                <w:szCs w:val="24"/>
              </w:rPr>
              <w:fldChar w:fldCharType="separate"/>
            </w:r>
            <w:r w:rsidR="00A35B95">
              <w:rPr>
                <w:b/>
                <w:noProof/>
              </w:rPr>
              <w:t>9</w:t>
            </w:r>
            <w:r w:rsidR="00513BFC">
              <w:rPr>
                <w:b/>
                <w:szCs w:val="24"/>
              </w:rPr>
              <w:fldChar w:fldCharType="end"/>
            </w:r>
          </w:p>
        </w:sdtContent>
      </w:sdt>
    </w:sdtContent>
  </w:sdt>
  <w:p w:rsidR="00E57252" w:rsidRDefault="00EE3C1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C11" w:rsidRDefault="00EE3C11" w:rsidP="00523E25">
      <w:r>
        <w:separator/>
      </w:r>
    </w:p>
  </w:footnote>
  <w:footnote w:type="continuationSeparator" w:id="1">
    <w:p w:rsidR="00EE3C11" w:rsidRDefault="00EE3C11" w:rsidP="00523E25">
      <w:r>
        <w:continuationSeparator/>
      </w:r>
    </w:p>
  </w:footnote>
  <w:footnote w:id="2">
    <w:p w:rsidR="00523E25" w:rsidRPr="0019470C" w:rsidRDefault="00523E25" w:rsidP="00523E25">
      <w:pPr>
        <w:ind w:right="566"/>
        <w:jc w:val="both"/>
        <w:rPr>
          <w:rFonts w:ascii="Tahoma" w:hAnsi="Tahoma" w:cs="Tahoma"/>
          <w:lang w:val="es-ES_tradnl"/>
        </w:rPr>
      </w:pPr>
      <w:r>
        <w:rPr>
          <w:rStyle w:val="Refdenotaalpie"/>
        </w:rPr>
        <w:footnoteRef/>
      </w:r>
      <w:r>
        <w:t xml:space="preserve"> Véase la </w:t>
      </w:r>
      <w:r w:rsidRPr="0019470C">
        <w:rPr>
          <w:rFonts w:ascii="Tahoma" w:hAnsi="Tahoma" w:cs="Tahoma"/>
          <w:lang w:val="es-ES_tradnl"/>
        </w:rPr>
        <w:t xml:space="preserve">Resolución Nº </w:t>
      </w:r>
      <w:r>
        <w:rPr>
          <w:rFonts w:ascii="Tahoma" w:hAnsi="Tahoma" w:cs="Tahoma"/>
        </w:rPr>
        <w:t>707-</w:t>
      </w:r>
      <w:r w:rsidRPr="0019470C">
        <w:rPr>
          <w:rFonts w:ascii="Tahoma" w:hAnsi="Tahoma" w:cs="Tahoma"/>
        </w:rPr>
        <w:t>201</w:t>
      </w:r>
      <w:r>
        <w:rPr>
          <w:rFonts w:ascii="Tahoma" w:hAnsi="Tahoma" w:cs="Tahoma"/>
        </w:rPr>
        <w:t>0-TC-S3 del 15 de abril de 2010 y la Resolución Nº 965-2010-TC-S4 de fecha 19 de mayo de 2010.</w:t>
      </w:r>
    </w:p>
    <w:p w:rsidR="00523E25" w:rsidRPr="0019470C" w:rsidRDefault="00523E25" w:rsidP="00523E25">
      <w:pPr>
        <w:pStyle w:val="Textonotapie"/>
        <w:rPr>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B95" w:rsidRDefault="00A35B95" w:rsidP="00A35B9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35B95" w:rsidRDefault="00A35B95" w:rsidP="00A35B95">
    <w:pPr>
      <w:pStyle w:val="Encabezado"/>
      <w:rPr>
        <w:noProof/>
      </w:rPr>
    </w:pPr>
  </w:p>
  <w:p w:rsidR="00A35B95" w:rsidRDefault="00A35B95" w:rsidP="00A35B95">
    <w:pPr>
      <w:pStyle w:val="Encabezado"/>
      <w:jc w:val="center"/>
      <w:rPr>
        <w:rFonts w:ascii="Monotype Corsiva" w:hAnsi="Monotype Corsiva"/>
        <w:b/>
        <w:sz w:val="44"/>
        <w:szCs w:val="44"/>
      </w:rPr>
    </w:pPr>
  </w:p>
  <w:p w:rsidR="00A35B95" w:rsidRDefault="00A35B95" w:rsidP="00A35B95">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1285-2011-TC-S1</w:t>
    </w:r>
  </w:p>
  <w:p w:rsidR="00A35B95" w:rsidRDefault="00A35B9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688C5E7C"/>
    <w:lvl w:ilvl="0" w:tplc="29060E76">
      <w:start w:val="1"/>
      <w:numFmt w:val="decimal"/>
      <w:lvlText w:val="%1."/>
      <w:lvlJc w:val="left"/>
      <w:pPr>
        <w:ind w:left="720" w:hanging="360"/>
      </w:pPr>
      <w:rPr>
        <w:rFonts w:ascii="Tahoma" w:hAnsi="Tahoma" w:cs="Tahoma" w:hint="default"/>
        <w:b/>
        <w:i w:val="0"/>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397B12"/>
    <w:multiLevelType w:val="hybridMultilevel"/>
    <w:tmpl w:val="3B26A1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2834401"/>
    <w:multiLevelType w:val="hybridMultilevel"/>
    <w:tmpl w:val="5A6E9D1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427827A0"/>
    <w:multiLevelType w:val="hybridMultilevel"/>
    <w:tmpl w:val="B5A64B2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594036C"/>
    <w:multiLevelType w:val="multilevel"/>
    <w:tmpl w:val="69D22218"/>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16B3781"/>
    <w:multiLevelType w:val="hybridMultilevel"/>
    <w:tmpl w:val="920A2788"/>
    <w:lvl w:ilvl="0" w:tplc="F5F44E82">
      <w:start w:val="1"/>
      <w:numFmt w:val="decimal"/>
      <w:lvlText w:val="%1."/>
      <w:lvlJc w:val="left"/>
      <w:pPr>
        <w:tabs>
          <w:tab w:val="num" w:pos="1080"/>
        </w:tabs>
        <w:ind w:left="1080" w:hanging="360"/>
      </w:pPr>
      <w:rPr>
        <w:rFonts w:ascii="Tahoma" w:hAnsi="Tahoma" w:cs="Tahoma" w:hint="default"/>
        <w:b/>
        <w:i w:val="0"/>
        <w:sz w:val="22"/>
        <w:szCs w:val="22"/>
      </w:rPr>
    </w:lvl>
    <w:lvl w:ilvl="1" w:tplc="0C0A0001">
      <w:start w:val="1"/>
      <w:numFmt w:val="bullet"/>
      <w:lvlText w:val=""/>
      <w:lvlJc w:val="left"/>
      <w:pPr>
        <w:tabs>
          <w:tab w:val="num" w:pos="1800"/>
        </w:tabs>
        <w:ind w:left="1800" w:hanging="360"/>
      </w:pPr>
      <w:rPr>
        <w:rFonts w:ascii="Symbol" w:hAnsi="Symbol" w:hint="default"/>
        <w:b/>
        <w:sz w:val="20"/>
      </w:rPr>
    </w:lvl>
    <w:lvl w:ilvl="2" w:tplc="7DB4FF3A">
      <w:start w:val="2"/>
      <w:numFmt w:val="lowerLetter"/>
      <w:lvlText w:val="%3."/>
      <w:lvlJc w:val="left"/>
      <w:pPr>
        <w:tabs>
          <w:tab w:val="num" w:pos="2700"/>
        </w:tabs>
        <w:ind w:left="2700" w:hanging="360"/>
      </w:pPr>
      <w:rPr>
        <w:rFonts w:cs="Times New Roman" w:hint="default"/>
        <w:b/>
      </w:rPr>
    </w:lvl>
    <w:lvl w:ilvl="3" w:tplc="A0D0E0DC">
      <w:start w:val="4"/>
      <w:numFmt w:val="decimal"/>
      <w:lvlText w:val="%4."/>
      <w:lvlJc w:val="left"/>
      <w:pPr>
        <w:tabs>
          <w:tab w:val="num" w:pos="3240"/>
        </w:tabs>
        <w:ind w:left="3240" w:hanging="360"/>
      </w:pPr>
      <w:rPr>
        <w:rFonts w:cs="Times New Roman" w:hint="default"/>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6">
    <w:nsid w:val="6C611267"/>
    <w:multiLevelType w:val="hybridMultilevel"/>
    <w:tmpl w:val="6E90208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387565F"/>
    <w:multiLevelType w:val="hybridMultilevel"/>
    <w:tmpl w:val="65E209FE"/>
    <w:lvl w:ilvl="0" w:tplc="317E0D8E">
      <w:start w:val="1"/>
      <w:numFmt w:val="decimal"/>
      <w:lvlText w:val="%1."/>
      <w:lvlJc w:val="left"/>
      <w:pPr>
        <w:tabs>
          <w:tab w:val="num" w:pos="760"/>
        </w:tabs>
        <w:ind w:left="760" w:hanging="360"/>
      </w:pPr>
      <w:rPr>
        <w:rFonts w:cs="Times New Roman"/>
        <w:b/>
        <w:i w:val="0"/>
      </w:rPr>
    </w:lvl>
    <w:lvl w:ilvl="1" w:tplc="0C0A0019" w:tentative="1">
      <w:start w:val="1"/>
      <w:numFmt w:val="lowerLetter"/>
      <w:lvlText w:val="%2."/>
      <w:lvlJc w:val="left"/>
      <w:pPr>
        <w:ind w:left="1840" w:hanging="360"/>
      </w:pPr>
      <w:rPr>
        <w:rFonts w:cs="Times New Roman"/>
      </w:rPr>
    </w:lvl>
    <w:lvl w:ilvl="2" w:tplc="0C0A001B" w:tentative="1">
      <w:start w:val="1"/>
      <w:numFmt w:val="lowerRoman"/>
      <w:lvlText w:val="%3."/>
      <w:lvlJc w:val="right"/>
      <w:pPr>
        <w:ind w:left="2560" w:hanging="180"/>
      </w:pPr>
      <w:rPr>
        <w:rFonts w:cs="Times New Roman"/>
      </w:rPr>
    </w:lvl>
    <w:lvl w:ilvl="3" w:tplc="0C0A000F" w:tentative="1">
      <w:start w:val="1"/>
      <w:numFmt w:val="decimal"/>
      <w:lvlText w:val="%4."/>
      <w:lvlJc w:val="left"/>
      <w:pPr>
        <w:ind w:left="3280" w:hanging="360"/>
      </w:pPr>
      <w:rPr>
        <w:rFonts w:cs="Times New Roman"/>
      </w:rPr>
    </w:lvl>
    <w:lvl w:ilvl="4" w:tplc="0C0A0019" w:tentative="1">
      <w:start w:val="1"/>
      <w:numFmt w:val="lowerLetter"/>
      <w:lvlText w:val="%5."/>
      <w:lvlJc w:val="left"/>
      <w:pPr>
        <w:ind w:left="4000" w:hanging="360"/>
      </w:pPr>
      <w:rPr>
        <w:rFonts w:cs="Times New Roman"/>
      </w:rPr>
    </w:lvl>
    <w:lvl w:ilvl="5" w:tplc="0C0A001B" w:tentative="1">
      <w:start w:val="1"/>
      <w:numFmt w:val="lowerRoman"/>
      <w:lvlText w:val="%6."/>
      <w:lvlJc w:val="right"/>
      <w:pPr>
        <w:ind w:left="4720" w:hanging="180"/>
      </w:pPr>
      <w:rPr>
        <w:rFonts w:cs="Times New Roman"/>
      </w:rPr>
    </w:lvl>
    <w:lvl w:ilvl="6" w:tplc="0C0A000F" w:tentative="1">
      <w:start w:val="1"/>
      <w:numFmt w:val="decimal"/>
      <w:lvlText w:val="%7."/>
      <w:lvlJc w:val="left"/>
      <w:pPr>
        <w:ind w:left="5440" w:hanging="360"/>
      </w:pPr>
      <w:rPr>
        <w:rFonts w:cs="Times New Roman"/>
      </w:rPr>
    </w:lvl>
    <w:lvl w:ilvl="7" w:tplc="0C0A0019" w:tentative="1">
      <w:start w:val="1"/>
      <w:numFmt w:val="lowerLetter"/>
      <w:lvlText w:val="%8."/>
      <w:lvlJc w:val="left"/>
      <w:pPr>
        <w:ind w:left="6160" w:hanging="360"/>
      </w:pPr>
      <w:rPr>
        <w:rFonts w:cs="Times New Roman"/>
      </w:rPr>
    </w:lvl>
    <w:lvl w:ilvl="8" w:tplc="0C0A001B" w:tentative="1">
      <w:start w:val="1"/>
      <w:numFmt w:val="lowerRoman"/>
      <w:lvlText w:val="%9."/>
      <w:lvlJc w:val="right"/>
      <w:pPr>
        <w:ind w:left="6880" w:hanging="180"/>
      </w:pPr>
      <w:rPr>
        <w:rFonts w:cs="Times New Roman"/>
      </w:rPr>
    </w:lvl>
  </w:abstractNum>
  <w:abstractNum w:abstractNumId="8">
    <w:nsid w:val="75EF12F2"/>
    <w:multiLevelType w:val="hybridMultilevel"/>
    <w:tmpl w:val="EC46F37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776C2DBD"/>
    <w:multiLevelType w:val="hybridMultilevel"/>
    <w:tmpl w:val="8D78D424"/>
    <w:lvl w:ilvl="0" w:tplc="E7068C9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96F5960"/>
    <w:multiLevelType w:val="hybridMultilevel"/>
    <w:tmpl w:val="215A05F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0"/>
  </w:num>
  <w:num w:numId="2">
    <w:abstractNumId w:val="1"/>
  </w:num>
  <w:num w:numId="3">
    <w:abstractNumId w:val="3"/>
  </w:num>
  <w:num w:numId="4">
    <w:abstractNumId w:val="2"/>
  </w:num>
  <w:num w:numId="5">
    <w:abstractNumId w:val="10"/>
  </w:num>
  <w:num w:numId="6">
    <w:abstractNumId w:val="5"/>
  </w:num>
  <w:num w:numId="7">
    <w:abstractNumId w:val="9"/>
  </w:num>
  <w:num w:numId="8">
    <w:abstractNumId w:val="4"/>
  </w:num>
  <w:num w:numId="9">
    <w:abstractNumId w:val="6"/>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523E25"/>
    <w:rsid w:val="001303D0"/>
    <w:rsid w:val="002163A4"/>
    <w:rsid w:val="00513BFC"/>
    <w:rsid w:val="00523E25"/>
    <w:rsid w:val="005F0E2E"/>
    <w:rsid w:val="009042C5"/>
    <w:rsid w:val="00A35B95"/>
    <w:rsid w:val="00D102E1"/>
    <w:rsid w:val="00ED70C6"/>
    <w:rsid w:val="00EE3C11"/>
    <w:rsid w:val="00FF2E9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E2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523E25"/>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uiPriority w:val="99"/>
    <w:rsid w:val="00523E25"/>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523E25"/>
  </w:style>
  <w:style w:type="paragraph" w:styleId="Textoindependiente">
    <w:name w:val="Body Text"/>
    <w:basedOn w:val="Normal"/>
    <w:link w:val="TextoindependienteCar"/>
    <w:rsid w:val="00523E25"/>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523E25"/>
    <w:rPr>
      <w:rFonts w:ascii="Tahoma" w:eastAsia="Times New Roman" w:hAnsi="Tahoma" w:cs="Times New Roman"/>
      <w:szCs w:val="20"/>
      <w:lang w:val="es-ES_tradnl" w:eastAsia="es-ES"/>
    </w:rPr>
  </w:style>
  <w:style w:type="paragraph" w:customStyle="1" w:styleId="Textoindependiente21">
    <w:name w:val="Texto independiente 21"/>
    <w:basedOn w:val="Normal"/>
    <w:rsid w:val="00523E25"/>
    <w:pPr>
      <w:jc w:val="both"/>
    </w:pPr>
    <w:rPr>
      <w:rFonts w:ascii="Tahoma" w:hAnsi="Tahoma"/>
      <w:sz w:val="22"/>
    </w:rPr>
  </w:style>
  <w:style w:type="paragraph" w:styleId="Textoindependiente3">
    <w:name w:val="Body Text 3"/>
    <w:basedOn w:val="Normal"/>
    <w:link w:val="Textoindependiente3Car"/>
    <w:rsid w:val="00523E25"/>
    <w:pPr>
      <w:spacing w:after="120"/>
    </w:pPr>
    <w:rPr>
      <w:sz w:val="16"/>
      <w:szCs w:val="16"/>
      <w:lang w:val="es-PE"/>
    </w:rPr>
  </w:style>
  <w:style w:type="character" w:customStyle="1" w:styleId="Textoindependiente3Car">
    <w:name w:val="Texto independiente 3 Car"/>
    <w:basedOn w:val="Fuentedeprrafopredeter"/>
    <w:link w:val="Textoindependiente3"/>
    <w:rsid w:val="00523E25"/>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Car Car Car Car Car"/>
    <w:basedOn w:val="Normal"/>
    <w:link w:val="TextonotapieCar"/>
    <w:rsid w:val="00523E25"/>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523E25"/>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rsid w:val="00523E25"/>
    <w:pPr>
      <w:spacing w:after="120"/>
      <w:ind w:left="283"/>
    </w:pPr>
  </w:style>
  <w:style w:type="character" w:customStyle="1" w:styleId="SangradetextonormalCar">
    <w:name w:val="Sangría de texto normal Car"/>
    <w:basedOn w:val="Fuentedeprrafopredeter"/>
    <w:link w:val="Sangradetextonormal"/>
    <w:rsid w:val="00523E25"/>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523E25"/>
    <w:pPr>
      <w:ind w:left="708"/>
    </w:pPr>
    <w:rPr>
      <w:lang w:eastAsia="es-PE"/>
    </w:rPr>
  </w:style>
  <w:style w:type="character" w:styleId="Refdenotaalpie">
    <w:name w:val="footnote reference"/>
    <w:basedOn w:val="Fuentedeprrafopredeter"/>
    <w:rsid w:val="00523E25"/>
    <w:rPr>
      <w:vertAlign w:val="superscript"/>
    </w:rPr>
  </w:style>
  <w:style w:type="paragraph" w:customStyle="1" w:styleId="ListParagraph1">
    <w:name w:val="List Paragraph1"/>
    <w:basedOn w:val="Normal"/>
    <w:rsid w:val="00523E25"/>
    <w:pPr>
      <w:ind w:left="708"/>
    </w:pPr>
    <w:rPr>
      <w:sz w:val="24"/>
      <w:szCs w:val="24"/>
    </w:rPr>
  </w:style>
  <w:style w:type="paragraph" w:customStyle="1" w:styleId="Prrafodelista1">
    <w:name w:val="Párrafo de lista1"/>
    <w:basedOn w:val="Normal"/>
    <w:rsid w:val="00523E25"/>
    <w:pPr>
      <w:ind w:left="708"/>
    </w:pPr>
    <w:rPr>
      <w:rFonts w:eastAsia="Calibri"/>
      <w:sz w:val="24"/>
      <w:szCs w:val="24"/>
    </w:rPr>
  </w:style>
  <w:style w:type="paragraph" w:styleId="Encabezado">
    <w:name w:val="header"/>
    <w:aliases w:val="maria,h"/>
    <w:basedOn w:val="Normal"/>
    <w:link w:val="EncabezadoCar"/>
    <w:uiPriority w:val="99"/>
    <w:semiHidden/>
    <w:unhideWhenUsed/>
    <w:rsid w:val="00A35B9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A35B95"/>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212935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3555</Words>
  <Characters>19558</Characters>
  <Application>Microsoft Office Word</Application>
  <DocSecurity>0</DocSecurity>
  <Lines>162</Lines>
  <Paragraphs>46</Paragraphs>
  <ScaleCrop>false</ScaleCrop>
  <Company/>
  <LinksUpToDate>false</LinksUpToDate>
  <CharactersWithSpaces>23067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2011-07-25T16:33:00Z</cp:lastPrinted>
  <dcterms:created xsi:type="dcterms:W3CDTF">2011-07-25T16:27:00Z</dcterms:created>
  <dcterms:modified xsi:type="dcterms:W3CDTF">2011-08-18T14:26:00Z</dcterms:modified>
</cp:coreProperties>
</file>